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A226" w14:textId="77777777" w:rsidR="004A7FA8" w:rsidRPr="00063ACB" w:rsidRDefault="00B70F7C" w:rsidP="004A7FA8">
      <w:pPr>
        <w:pStyle w:val="Titre2"/>
        <w:spacing w:after="200" w:line="300" w:lineRule="auto"/>
        <w:ind w:left="0" w:right="144"/>
        <w:jc w:val="right"/>
        <w:rPr>
          <w:color w:val="0070C0"/>
          <w:sz w:val="40"/>
          <w:szCs w:val="40"/>
          <w:lang w:val="fr-FR"/>
        </w:rPr>
      </w:pPr>
      <w:r w:rsidRPr="0043113D">
        <w:rPr>
          <w:noProof/>
        </w:rPr>
        <w:drawing>
          <wp:anchor distT="0" distB="0" distL="114300" distR="114300" simplePos="0" relativeHeight="251658240" behindDoc="0" locked="0" layoutInCell="1" allowOverlap="1" wp14:anchorId="551D595C" wp14:editId="61FA0945">
            <wp:simplePos x="0" y="0"/>
            <wp:positionH relativeFrom="column">
              <wp:posOffset>3810</wp:posOffset>
            </wp:positionH>
            <wp:positionV relativeFrom="page">
              <wp:posOffset>628650</wp:posOffset>
            </wp:positionV>
            <wp:extent cx="2133600" cy="95694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3ACB">
        <w:rPr>
          <w:lang w:val="fr-FR"/>
        </w:rPr>
        <w:tab/>
      </w:r>
      <w:r w:rsidR="004A7FA8" w:rsidRPr="00063ACB">
        <w:rPr>
          <w:color w:val="0070C0"/>
          <w:sz w:val="40"/>
          <w:szCs w:val="40"/>
          <w:lang w:val="fr-FR"/>
        </w:rPr>
        <w:t>APPEL À PROJETS UPPA</w:t>
      </w:r>
    </w:p>
    <w:p w14:paraId="4EBF6412" w14:textId="03A7CF8B" w:rsidR="004A7FA8" w:rsidRPr="00063ACB" w:rsidRDefault="004A7FA8" w:rsidP="004A7FA8">
      <w:pPr>
        <w:pStyle w:val="Titre2"/>
        <w:spacing w:after="200" w:line="300" w:lineRule="auto"/>
        <w:ind w:left="0" w:right="144"/>
        <w:jc w:val="right"/>
        <w:rPr>
          <w:color w:val="0070C0"/>
          <w:sz w:val="44"/>
          <w:szCs w:val="44"/>
          <w:lang w:val="fr-FR"/>
        </w:rPr>
      </w:pPr>
      <w:r w:rsidRPr="00063ACB">
        <w:rPr>
          <w:color w:val="0070C0"/>
          <w:sz w:val="44"/>
          <w:szCs w:val="44"/>
          <w:lang w:val="fr-FR"/>
        </w:rPr>
        <w:t>202</w:t>
      </w:r>
      <w:r w:rsidR="00506A66">
        <w:rPr>
          <w:color w:val="0070C0"/>
          <w:sz w:val="44"/>
          <w:szCs w:val="44"/>
          <w:lang w:val="fr-FR"/>
        </w:rPr>
        <w:t>6</w:t>
      </w:r>
    </w:p>
    <w:p w14:paraId="48D4A0D7" w14:textId="77777777" w:rsidR="00D97512" w:rsidRDefault="00D97512" w:rsidP="00A95F87">
      <w:pPr>
        <w:spacing w:line="276" w:lineRule="auto"/>
        <w:jc w:val="center"/>
        <w:rPr>
          <w:rFonts w:ascii="Calibri" w:hAnsi="Calibri" w:cs="Calibri"/>
          <w:b/>
          <w:sz w:val="36"/>
          <w:szCs w:val="36"/>
          <w:lang w:val="fr-FR"/>
        </w:rPr>
      </w:pPr>
    </w:p>
    <w:p w14:paraId="7B7A7CB8" w14:textId="44A492AD" w:rsidR="00647612" w:rsidRPr="00063ACB" w:rsidRDefault="00B70F7C" w:rsidP="00A95F87">
      <w:pPr>
        <w:spacing w:line="276" w:lineRule="auto"/>
        <w:jc w:val="center"/>
        <w:rPr>
          <w:rFonts w:ascii="Calibri" w:hAnsi="Calibri" w:cs="Calibri"/>
          <w:b/>
          <w:sz w:val="36"/>
          <w:szCs w:val="36"/>
          <w:lang w:val="fr-FR"/>
        </w:rPr>
      </w:pP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Cotutelles de </w:t>
      </w:r>
      <w:proofErr w:type="gramStart"/>
      <w:r w:rsidR="004A7FA8" w:rsidRPr="00063ACB">
        <w:rPr>
          <w:rFonts w:ascii="Calibri" w:hAnsi="Calibri" w:cs="Calibri"/>
          <w:b/>
          <w:sz w:val="36"/>
          <w:szCs w:val="36"/>
          <w:lang w:val="fr-FR"/>
        </w:rPr>
        <w:t>th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è</w:t>
      </w:r>
      <w:r w:rsidR="004A7FA8" w:rsidRPr="00063ACB">
        <w:rPr>
          <w:rFonts w:ascii="Calibri" w:hAnsi="Calibri" w:cs="Calibri"/>
          <w:b/>
          <w:sz w:val="36"/>
          <w:szCs w:val="36"/>
          <w:lang w:val="fr-FR"/>
        </w:rPr>
        <w:t xml:space="preserve">se 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 UPPA</w:t>
      </w:r>
      <w:proofErr w:type="gramEnd"/>
      <w:r w:rsidRPr="00063ACB">
        <w:rPr>
          <w:rFonts w:ascii="Calibri" w:hAnsi="Calibri" w:cs="Calibri"/>
          <w:b/>
          <w:sz w:val="36"/>
          <w:szCs w:val="36"/>
          <w:lang w:val="fr-FR"/>
        </w:rPr>
        <w:t>–U</w:t>
      </w:r>
      <w:r w:rsidR="00DA300C" w:rsidRPr="00063ACB">
        <w:rPr>
          <w:rFonts w:ascii="Calibri" w:hAnsi="Calibri" w:cs="Calibri"/>
          <w:b/>
          <w:sz w:val="36"/>
          <w:szCs w:val="36"/>
          <w:lang w:val="fr-FR"/>
        </w:rPr>
        <w:t>P</w:t>
      </w:r>
      <w:r w:rsidR="001A01C6">
        <w:rPr>
          <w:rFonts w:ascii="Calibri" w:hAnsi="Calibri" w:cs="Calibri"/>
          <w:b/>
          <w:sz w:val="36"/>
          <w:szCs w:val="36"/>
          <w:lang w:val="fr-FR"/>
        </w:rPr>
        <w:t>NA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 xml:space="preserve"> 202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6</w:t>
      </w:r>
      <w:r w:rsidRPr="00063ACB">
        <w:rPr>
          <w:rFonts w:ascii="Calibri" w:hAnsi="Calibri" w:cs="Calibri"/>
          <w:b/>
          <w:sz w:val="36"/>
          <w:szCs w:val="36"/>
          <w:lang w:val="fr-FR"/>
        </w:rPr>
        <w:t>-202</w:t>
      </w:r>
      <w:r w:rsidR="00506A66">
        <w:rPr>
          <w:rFonts w:ascii="Calibri" w:hAnsi="Calibri" w:cs="Calibri"/>
          <w:b/>
          <w:sz w:val="36"/>
          <w:szCs w:val="36"/>
          <w:lang w:val="fr-FR"/>
        </w:rPr>
        <w:t>9</w:t>
      </w:r>
    </w:p>
    <w:p w14:paraId="250F8B91" w14:textId="77777777" w:rsidR="00647612" w:rsidRPr="00063ACB" w:rsidRDefault="00647612" w:rsidP="00A95F87">
      <w:pPr>
        <w:pStyle w:val="Corpsdetexte"/>
        <w:spacing w:line="276" w:lineRule="auto"/>
        <w:jc w:val="both"/>
        <w:rPr>
          <w:rFonts w:ascii="Calibri" w:hAnsi="Calibri" w:cs="Calibri"/>
          <w:b/>
          <w:sz w:val="24"/>
          <w:lang w:val="fr-FR"/>
        </w:rPr>
      </w:pPr>
    </w:p>
    <w:p w14:paraId="606A02BB" w14:textId="5EE569A7" w:rsidR="00647612" w:rsidRPr="00616AFE" w:rsidRDefault="00080C70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lang w:val="fr-FR"/>
        </w:rPr>
      </w:pPr>
      <w:r w:rsidRPr="00616AFE">
        <w:rPr>
          <w:rFonts w:ascii="Calibri" w:hAnsi="Calibri" w:cs="Calibri"/>
          <w:b/>
          <w:caps/>
          <w:sz w:val="24"/>
          <w:u w:val="single"/>
          <w:lang w:val="fr-FR"/>
        </w:rPr>
        <w:t>Objet de l’appel</w:t>
      </w:r>
    </w:p>
    <w:p w14:paraId="059C1F32" w14:textId="55F8ADB7" w:rsidR="00241A3B" w:rsidRDefault="00B70F7C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063ACB">
        <w:rPr>
          <w:rFonts w:ascii="Calibri" w:hAnsi="Calibri" w:cs="Calibri"/>
          <w:sz w:val="24"/>
          <w:lang w:val="fr-FR"/>
        </w:rPr>
        <w:t xml:space="preserve">Dans le cadre de l’accord de coopération </w:t>
      </w:r>
      <w:r w:rsidR="0091671F" w:rsidRPr="00063ACB">
        <w:rPr>
          <w:rFonts w:ascii="Calibri" w:hAnsi="Calibri" w:cs="Calibri"/>
          <w:sz w:val="24"/>
          <w:lang w:val="fr-FR"/>
        </w:rPr>
        <w:t xml:space="preserve">transfrontalière </w:t>
      </w:r>
      <w:r w:rsidR="00241A3B">
        <w:rPr>
          <w:rFonts w:ascii="Calibri" w:hAnsi="Calibri" w:cs="Calibri"/>
          <w:sz w:val="24"/>
          <w:lang w:val="fr-FR"/>
        </w:rPr>
        <w:t>conclu</w:t>
      </w:r>
      <w:r w:rsidRPr="00063ACB">
        <w:rPr>
          <w:rFonts w:ascii="Calibri" w:hAnsi="Calibri" w:cs="Calibri"/>
          <w:sz w:val="24"/>
          <w:lang w:val="fr-FR"/>
        </w:rPr>
        <w:t xml:space="preserve"> entre l’</w:t>
      </w:r>
      <w:r w:rsidRPr="00773C78">
        <w:rPr>
          <w:rFonts w:ascii="Calibri" w:hAnsi="Calibri" w:cs="Calibri"/>
          <w:sz w:val="24"/>
          <w:lang w:val="fr-FR"/>
        </w:rPr>
        <w:t>Université de Pau et des Pays de l’Adour</w:t>
      </w:r>
      <w:r w:rsidRPr="00063ACB">
        <w:rPr>
          <w:rFonts w:ascii="Calibri" w:hAnsi="Calibri" w:cs="Calibri"/>
          <w:sz w:val="24"/>
          <w:lang w:val="fr-FR"/>
        </w:rPr>
        <w:t xml:space="preserve"> (UPPA) et l’</w:t>
      </w:r>
      <w:r w:rsidRPr="00773C78">
        <w:rPr>
          <w:rFonts w:ascii="Calibri" w:hAnsi="Calibri" w:cs="Calibri"/>
          <w:sz w:val="24"/>
          <w:lang w:val="fr-FR"/>
        </w:rPr>
        <w:t xml:space="preserve">Université </w:t>
      </w:r>
      <w:r w:rsidR="001A01C6">
        <w:rPr>
          <w:rFonts w:ascii="Calibri" w:hAnsi="Calibri" w:cs="Calibri"/>
          <w:sz w:val="24"/>
          <w:lang w:val="fr-FR"/>
        </w:rPr>
        <w:t>Publique de Navarre</w:t>
      </w:r>
      <w:r w:rsidRPr="00063ACB">
        <w:rPr>
          <w:rFonts w:ascii="Calibri" w:hAnsi="Calibri" w:cs="Calibri"/>
          <w:sz w:val="24"/>
          <w:lang w:val="fr-FR"/>
        </w:rPr>
        <w:t xml:space="preserve"> (</w:t>
      </w:r>
      <w:r w:rsidR="001A01C6">
        <w:rPr>
          <w:rFonts w:ascii="Calibri" w:hAnsi="Calibri" w:cs="Calibri"/>
          <w:sz w:val="24"/>
          <w:lang w:val="fr-FR"/>
        </w:rPr>
        <w:t>UPNA</w:t>
      </w:r>
      <w:r w:rsidRPr="00063ACB">
        <w:rPr>
          <w:rFonts w:ascii="Calibri" w:hAnsi="Calibri" w:cs="Calibri"/>
          <w:sz w:val="24"/>
          <w:lang w:val="fr-FR"/>
        </w:rPr>
        <w:t xml:space="preserve">), </w:t>
      </w:r>
      <w:r w:rsidR="00241A3B" w:rsidRPr="00241A3B">
        <w:rPr>
          <w:rFonts w:ascii="Calibri" w:hAnsi="Calibri" w:cs="Calibri"/>
          <w:sz w:val="24"/>
          <w:lang w:val="fr-FR"/>
        </w:rPr>
        <w:t>les deux établissements mettent en œuvre un programme conjoint de financement de thèses en cotutelle internationale</w:t>
      </w:r>
      <w:r w:rsidR="00241A3B">
        <w:rPr>
          <w:rFonts w:ascii="Calibri" w:hAnsi="Calibri" w:cs="Calibri"/>
          <w:sz w:val="24"/>
          <w:lang w:val="fr-FR"/>
        </w:rPr>
        <w:t>.</w:t>
      </w:r>
    </w:p>
    <w:p w14:paraId="5DF79D98" w14:textId="15798E68" w:rsidR="00647612" w:rsidRPr="00063ACB" w:rsidRDefault="00241A3B" w:rsidP="0064089A">
      <w:pPr>
        <w:spacing w:line="276" w:lineRule="auto"/>
        <w:ind w:right="181"/>
        <w:jc w:val="both"/>
        <w:rPr>
          <w:rFonts w:ascii="Calibri" w:hAnsi="Calibri" w:cs="Calibri"/>
          <w:b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 xml:space="preserve">Ce programme prévoit le financement de </w:t>
      </w:r>
      <w:r w:rsidRPr="00241A3B">
        <w:rPr>
          <w:rFonts w:ascii="Calibri" w:hAnsi="Calibri" w:cs="Calibri"/>
          <w:b/>
          <w:sz w:val="24"/>
          <w:lang w:val="fr-FR"/>
        </w:rPr>
        <w:t>six</w:t>
      </w:r>
      <w:r>
        <w:rPr>
          <w:rFonts w:ascii="Calibri" w:hAnsi="Calibri" w:cs="Calibri"/>
          <w:sz w:val="24"/>
          <w:lang w:val="fr-FR"/>
        </w:rPr>
        <w:t xml:space="preserve"> </w:t>
      </w:r>
      <w:r w:rsidR="00955EA0">
        <w:rPr>
          <w:rFonts w:ascii="Calibri" w:hAnsi="Calibri" w:cs="Calibri"/>
          <w:sz w:val="24"/>
          <w:lang w:val="fr-FR"/>
        </w:rPr>
        <w:t xml:space="preserve">thèses </w:t>
      </w:r>
      <w:r>
        <w:rPr>
          <w:rFonts w:ascii="Calibri" w:hAnsi="Calibri" w:cs="Calibri"/>
          <w:sz w:val="24"/>
          <w:lang w:val="fr-FR"/>
        </w:rPr>
        <w:t xml:space="preserve">au total </w:t>
      </w:r>
      <w:r w:rsidR="00B70F7C" w:rsidRPr="00063ACB">
        <w:rPr>
          <w:rFonts w:ascii="Calibri" w:hAnsi="Calibri" w:cs="Calibri"/>
          <w:b/>
          <w:sz w:val="24"/>
          <w:lang w:val="fr-FR"/>
        </w:rPr>
        <w:t>:</w:t>
      </w:r>
    </w:p>
    <w:p w14:paraId="7F65AC01" w14:textId="1A7913C6" w:rsidR="00647612" w:rsidRPr="00063ACB" w:rsidRDefault="00C72AC8" w:rsidP="0064089A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>
        <w:rPr>
          <w:rFonts w:ascii="Calibri" w:hAnsi="Calibri" w:cs="Calibri"/>
          <w:b/>
          <w:sz w:val="24"/>
          <w:lang w:val="fr-FR"/>
        </w:rPr>
        <w:t>deux</w:t>
      </w:r>
      <w:proofErr w:type="gramEnd"/>
      <w:r w:rsidR="00241A3B">
        <w:rPr>
          <w:rFonts w:ascii="Calibri" w:hAnsi="Calibri" w:cs="Calibri"/>
          <w:sz w:val="24"/>
          <w:lang w:val="fr-FR"/>
        </w:rPr>
        <w:t xml:space="preserve"> financé</w:t>
      </w:r>
      <w:r w:rsidR="00955EA0">
        <w:rPr>
          <w:rFonts w:ascii="Calibri" w:hAnsi="Calibri" w:cs="Calibri"/>
          <w:sz w:val="24"/>
          <w:lang w:val="fr-FR"/>
        </w:rPr>
        <w:t>e</w:t>
      </w:r>
      <w:r w:rsidR="00241A3B">
        <w:rPr>
          <w:rFonts w:ascii="Calibri" w:hAnsi="Calibri" w:cs="Calibri"/>
          <w:sz w:val="24"/>
          <w:lang w:val="fr-FR"/>
        </w:rPr>
        <w:t xml:space="preserve">s </w:t>
      </w:r>
      <w:r w:rsidR="00B70F7C" w:rsidRPr="00063ACB">
        <w:rPr>
          <w:rFonts w:ascii="Calibri" w:hAnsi="Calibri" w:cs="Calibri"/>
          <w:sz w:val="24"/>
          <w:lang w:val="fr-FR"/>
        </w:rPr>
        <w:t>par l’UPPA</w:t>
      </w:r>
    </w:p>
    <w:p w14:paraId="7A848FC1" w14:textId="739938DE" w:rsidR="003F33B3" w:rsidRDefault="00C72AC8" w:rsidP="0064089A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>
        <w:rPr>
          <w:rFonts w:ascii="Calibri" w:hAnsi="Calibri" w:cs="Calibri"/>
          <w:b/>
          <w:sz w:val="24"/>
          <w:lang w:val="fr-FR"/>
        </w:rPr>
        <w:t>deux</w:t>
      </w:r>
      <w:proofErr w:type="gramEnd"/>
      <w:r w:rsidR="00241A3B">
        <w:rPr>
          <w:rFonts w:ascii="Calibri" w:hAnsi="Calibri" w:cs="Calibri"/>
          <w:sz w:val="24"/>
          <w:lang w:val="fr-FR"/>
        </w:rPr>
        <w:t xml:space="preserve"> financé</w:t>
      </w:r>
      <w:r w:rsidR="00955EA0">
        <w:rPr>
          <w:rFonts w:ascii="Calibri" w:hAnsi="Calibri" w:cs="Calibri"/>
          <w:sz w:val="24"/>
          <w:lang w:val="fr-FR"/>
        </w:rPr>
        <w:t>e</w:t>
      </w:r>
      <w:r w:rsidR="00241A3B">
        <w:rPr>
          <w:rFonts w:ascii="Calibri" w:hAnsi="Calibri" w:cs="Calibri"/>
          <w:sz w:val="24"/>
          <w:lang w:val="fr-FR"/>
        </w:rPr>
        <w:t>s</w:t>
      </w:r>
      <w:r w:rsidR="00080C70">
        <w:rPr>
          <w:rFonts w:ascii="Calibri" w:hAnsi="Calibri" w:cs="Calibri"/>
          <w:sz w:val="24"/>
          <w:lang w:val="fr-FR"/>
        </w:rPr>
        <w:t xml:space="preserve"> </w:t>
      </w:r>
      <w:r w:rsidR="00241A3B">
        <w:rPr>
          <w:rFonts w:ascii="Calibri" w:hAnsi="Calibri" w:cs="Calibri"/>
          <w:sz w:val="24"/>
          <w:lang w:val="fr-FR"/>
        </w:rPr>
        <w:t>par l’UP</w:t>
      </w:r>
      <w:r w:rsidR="001A01C6">
        <w:rPr>
          <w:rFonts w:ascii="Calibri" w:hAnsi="Calibri" w:cs="Calibri"/>
          <w:sz w:val="24"/>
          <w:lang w:val="fr-FR"/>
        </w:rPr>
        <w:t>NA</w:t>
      </w:r>
    </w:p>
    <w:p w14:paraId="43CA4B0F" w14:textId="77777777" w:rsidR="00C7765F" w:rsidRDefault="008411BC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8411BC">
        <w:rPr>
          <w:rFonts w:ascii="Calibri" w:hAnsi="Calibri" w:cs="Calibri"/>
          <w:sz w:val="24"/>
          <w:lang w:val="fr-FR"/>
        </w:rPr>
        <w:t xml:space="preserve">Chaque établissement publie son propre appel à projets, selon un calendrier, des modalités de candidature et une procédure de sélection qui lui sont propres. </w:t>
      </w:r>
    </w:p>
    <w:p w14:paraId="02E49525" w14:textId="520B596E" w:rsidR="00566E4E" w:rsidRPr="008C3CA7" w:rsidRDefault="008411BC" w:rsidP="00773C78">
      <w:pPr>
        <w:spacing w:after="120" w:line="276" w:lineRule="auto"/>
        <w:jc w:val="both"/>
        <w:rPr>
          <w:rFonts w:ascii="Calibri" w:hAnsi="Calibri" w:cs="Calibri"/>
          <w:b/>
          <w:sz w:val="24"/>
          <w:lang w:val="fr-FR"/>
        </w:rPr>
      </w:pPr>
      <w:r w:rsidRPr="008411BC">
        <w:rPr>
          <w:rFonts w:ascii="Calibri" w:hAnsi="Calibri" w:cs="Calibri"/>
          <w:sz w:val="24"/>
          <w:lang w:val="fr-FR"/>
        </w:rPr>
        <w:t>Cette année, la campagne portée par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8411BC">
        <w:rPr>
          <w:rFonts w:ascii="Calibri" w:hAnsi="Calibri" w:cs="Calibri"/>
          <w:sz w:val="24"/>
          <w:lang w:val="fr-FR"/>
        </w:rPr>
        <w:t xml:space="preserve"> </w:t>
      </w:r>
      <w:r w:rsidR="00CC2641">
        <w:rPr>
          <w:rFonts w:ascii="Calibri" w:hAnsi="Calibri" w:cs="Calibri"/>
          <w:sz w:val="24"/>
          <w:lang w:val="fr-FR"/>
        </w:rPr>
        <w:t>devrait être ouverte</w:t>
      </w:r>
      <w:r w:rsidRPr="008411BC">
        <w:rPr>
          <w:rFonts w:ascii="Calibri" w:hAnsi="Calibri" w:cs="Calibri"/>
          <w:sz w:val="24"/>
          <w:lang w:val="fr-FR"/>
        </w:rPr>
        <w:t xml:space="preserve"> au cours du mois de juin 2026.</w:t>
      </w:r>
    </w:p>
    <w:p w14:paraId="0D1C99EB" w14:textId="10FAB462" w:rsidR="00647612" w:rsidRPr="00063ACB" w:rsidRDefault="00B70F7C" w:rsidP="0050188B">
      <w:pPr>
        <w:spacing w:before="240" w:after="120" w:line="276" w:lineRule="auto"/>
        <w:jc w:val="center"/>
        <w:rPr>
          <w:rFonts w:ascii="Calibri" w:hAnsi="Calibri" w:cs="Calibri"/>
          <w:b/>
          <w:color w:val="0070C0"/>
          <w:sz w:val="32"/>
          <w:lang w:val="fr-FR"/>
        </w:rPr>
      </w:pP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Le présent </w:t>
      </w:r>
      <w:r w:rsidR="00D97512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document </w:t>
      </w: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correspond à l’appel à projets </w:t>
      </w:r>
      <w:r w:rsidR="00D97512">
        <w:rPr>
          <w:rFonts w:ascii="Calibri" w:hAnsi="Calibri" w:cs="Calibri"/>
          <w:b/>
          <w:color w:val="0070C0"/>
          <w:sz w:val="32"/>
          <w:u w:val="thick"/>
          <w:lang w:val="fr-FR"/>
        </w:rPr>
        <w:t xml:space="preserve">porté par </w:t>
      </w:r>
      <w:r w:rsidRPr="00063ACB">
        <w:rPr>
          <w:rFonts w:ascii="Calibri" w:hAnsi="Calibri" w:cs="Calibri"/>
          <w:b/>
          <w:color w:val="0070C0"/>
          <w:sz w:val="32"/>
          <w:u w:val="thick"/>
          <w:lang w:val="fr-FR"/>
        </w:rPr>
        <w:t>l’UPPA</w:t>
      </w:r>
      <w:r w:rsidR="00173A44">
        <w:rPr>
          <w:rFonts w:ascii="Calibri" w:hAnsi="Calibri" w:cs="Calibri"/>
          <w:b/>
          <w:color w:val="0070C0"/>
          <w:sz w:val="32"/>
          <w:u w:val="thick"/>
          <w:lang w:val="fr-FR"/>
        </w:rPr>
        <w:t>.</w:t>
      </w:r>
    </w:p>
    <w:p w14:paraId="1D497941" w14:textId="2598150A" w:rsidR="00647612" w:rsidRDefault="00173A44" w:rsidP="0050188B">
      <w:pPr>
        <w:pStyle w:val="Corpsdetexte"/>
        <w:spacing w:after="240" w:line="276" w:lineRule="auto"/>
        <w:jc w:val="center"/>
        <w:rPr>
          <w:rFonts w:ascii="Calibri" w:hAnsi="Calibri" w:cs="Calibri"/>
          <w:b/>
          <w:color w:val="0070C0"/>
          <w:sz w:val="32"/>
          <w:lang w:val="fr-FR"/>
        </w:rPr>
      </w:pPr>
      <w:r>
        <w:rPr>
          <w:rFonts w:ascii="Calibri" w:hAnsi="Calibri" w:cs="Calibri"/>
          <w:b/>
          <w:color w:val="0070C0"/>
          <w:sz w:val="32"/>
          <w:lang w:val="fr-FR"/>
        </w:rPr>
        <w:t>Celui-ci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 est ouvert </w:t>
      </w:r>
      <w:r w:rsidR="00BB102F">
        <w:rPr>
          <w:rFonts w:ascii="Calibri" w:hAnsi="Calibri" w:cs="Calibri"/>
          <w:b/>
          <w:color w:val="0070C0"/>
          <w:sz w:val="32"/>
          <w:lang w:val="fr-FR"/>
        </w:rPr>
        <w:t xml:space="preserve">jusqu’au </w:t>
      </w:r>
      <w:r w:rsidR="00711952">
        <w:rPr>
          <w:rFonts w:ascii="Calibri" w:hAnsi="Calibri" w:cs="Calibri"/>
          <w:b/>
          <w:color w:val="0070C0"/>
          <w:sz w:val="32"/>
          <w:lang w:val="fr-FR"/>
        </w:rPr>
        <w:t>2</w:t>
      </w:r>
      <w:r w:rsidR="008302DD">
        <w:rPr>
          <w:rFonts w:ascii="Calibri" w:hAnsi="Calibri" w:cs="Calibri"/>
          <w:b/>
          <w:color w:val="0070C0"/>
          <w:sz w:val="32"/>
          <w:lang w:val="fr-FR"/>
        </w:rPr>
        <w:t>3</w:t>
      </w:r>
      <w:r w:rsidR="00711952">
        <w:rPr>
          <w:rFonts w:ascii="Calibri" w:hAnsi="Calibri" w:cs="Calibri"/>
          <w:b/>
          <w:color w:val="0070C0"/>
          <w:sz w:val="32"/>
          <w:lang w:val="fr-FR"/>
        </w:rPr>
        <w:t xml:space="preserve"> 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juin </w:t>
      </w:r>
      <w:r w:rsidR="00063ACB">
        <w:rPr>
          <w:rFonts w:ascii="Calibri" w:hAnsi="Calibri" w:cs="Calibri"/>
          <w:b/>
          <w:color w:val="0070C0"/>
          <w:sz w:val="32"/>
          <w:lang w:val="fr-FR"/>
        </w:rPr>
        <w:t>202</w:t>
      </w:r>
      <w:r w:rsidR="00506A66">
        <w:rPr>
          <w:rFonts w:ascii="Calibri" w:hAnsi="Calibri" w:cs="Calibri"/>
          <w:b/>
          <w:color w:val="0070C0"/>
          <w:sz w:val="32"/>
          <w:lang w:val="fr-FR"/>
        </w:rPr>
        <w:t>6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 xml:space="preserve"> </w:t>
      </w:r>
      <w:r w:rsidR="00773C78">
        <w:rPr>
          <w:rFonts w:ascii="Calibri" w:hAnsi="Calibri" w:cs="Calibri"/>
          <w:b/>
          <w:color w:val="0070C0"/>
          <w:sz w:val="32"/>
          <w:lang w:val="fr-FR"/>
        </w:rPr>
        <w:t xml:space="preserve">- </w:t>
      </w:r>
      <w:r w:rsidR="0091671F" w:rsidRPr="00063ACB">
        <w:rPr>
          <w:rFonts w:ascii="Calibri" w:hAnsi="Calibri" w:cs="Calibri"/>
          <w:b/>
          <w:color w:val="0070C0"/>
          <w:sz w:val="32"/>
          <w:lang w:val="fr-FR"/>
        </w:rPr>
        <w:t>12h</w:t>
      </w:r>
      <w:r w:rsidR="00773C78">
        <w:rPr>
          <w:rFonts w:ascii="Calibri" w:hAnsi="Calibri" w:cs="Calibri"/>
          <w:b/>
          <w:color w:val="0070C0"/>
          <w:sz w:val="32"/>
          <w:lang w:val="fr-FR"/>
        </w:rPr>
        <w:t>00</w:t>
      </w:r>
    </w:p>
    <w:p w14:paraId="49131430" w14:textId="08F298A6" w:rsidR="00506A66" w:rsidRDefault="00CC2641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CC2641">
        <w:rPr>
          <w:rFonts w:ascii="Calibri" w:hAnsi="Calibri" w:cs="Calibri"/>
          <w:sz w:val="24"/>
          <w:lang w:val="fr-FR"/>
        </w:rPr>
        <w:t xml:space="preserve">Chaque projet devra être </w:t>
      </w:r>
      <w:proofErr w:type="spellStart"/>
      <w:r w:rsidRPr="00CC2641">
        <w:rPr>
          <w:rFonts w:ascii="Calibri" w:hAnsi="Calibri" w:cs="Calibri"/>
          <w:sz w:val="24"/>
          <w:lang w:val="fr-FR"/>
        </w:rPr>
        <w:t>co</w:t>
      </w:r>
      <w:proofErr w:type="spellEnd"/>
      <w:r w:rsidRPr="00CC2641">
        <w:rPr>
          <w:rFonts w:ascii="Calibri" w:hAnsi="Calibri" w:cs="Calibri"/>
          <w:sz w:val="24"/>
          <w:lang w:val="fr-FR"/>
        </w:rPr>
        <w:t>-encadré par un directeur ou une directrice de thèse de l’UPPA et un directeur ou une directrice de thèse de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CC2641">
        <w:rPr>
          <w:rFonts w:ascii="Calibri" w:hAnsi="Calibri" w:cs="Calibri"/>
          <w:sz w:val="24"/>
          <w:lang w:val="fr-FR"/>
        </w:rPr>
        <w:t>, conformément à la réglementation applicable aux cotutelles internationales dans les deux établissements.</w:t>
      </w:r>
    </w:p>
    <w:p w14:paraId="4F9FBCE0" w14:textId="7D34E469" w:rsidR="007B4306" w:rsidRPr="0091186A" w:rsidRDefault="00CC2641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CC2641">
        <w:rPr>
          <w:rFonts w:ascii="Calibri" w:hAnsi="Calibri" w:cs="Calibri"/>
          <w:sz w:val="24"/>
          <w:lang w:val="fr-FR"/>
        </w:rPr>
        <w:t xml:space="preserve">Les doctorants sélectionnés seront </w:t>
      </w:r>
      <w:r w:rsidRPr="00773C78">
        <w:rPr>
          <w:rFonts w:ascii="Calibri" w:hAnsi="Calibri" w:cs="Calibri"/>
          <w:sz w:val="24"/>
          <w:lang w:val="fr-FR"/>
        </w:rPr>
        <w:t>recrutés par l’UPPA pour une durée de</w:t>
      </w:r>
      <w:r w:rsidRPr="00CC2641">
        <w:rPr>
          <w:rFonts w:ascii="Calibri" w:hAnsi="Calibri" w:cs="Calibri"/>
          <w:sz w:val="24"/>
          <w:lang w:val="fr-FR"/>
        </w:rPr>
        <w:t xml:space="preserve"> </w:t>
      </w:r>
      <w:r w:rsidRPr="00773C78">
        <w:rPr>
          <w:rFonts w:ascii="Calibri" w:hAnsi="Calibri" w:cs="Calibri"/>
          <w:sz w:val="24"/>
          <w:lang w:val="fr-FR"/>
        </w:rPr>
        <w:t>trois ans</w:t>
      </w:r>
      <w:r w:rsidRPr="00CC2641">
        <w:rPr>
          <w:rFonts w:ascii="Calibri" w:hAnsi="Calibri" w:cs="Calibri"/>
          <w:sz w:val="24"/>
          <w:lang w:val="fr-FR"/>
        </w:rPr>
        <w:t>. Ils seront soumis à la réglementation applicable aux doctorants contractuels de l’UPPA ainsi qu’aux dispositions prévues dans la convention de cotutelle signée entre les deux universités</w:t>
      </w:r>
      <w:r w:rsidR="007B4306" w:rsidRPr="00E9518C">
        <w:rPr>
          <w:rFonts w:ascii="Calibri" w:hAnsi="Calibri" w:cs="Calibri"/>
          <w:sz w:val="24"/>
          <w:lang w:val="fr-FR"/>
        </w:rPr>
        <w:t xml:space="preserve">. </w:t>
      </w:r>
    </w:p>
    <w:p w14:paraId="37113A96" w14:textId="602CD0B6" w:rsidR="00080C70" w:rsidRPr="00616AFE" w:rsidRDefault="00C329A8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>
        <w:rPr>
          <w:rFonts w:ascii="Calibri" w:hAnsi="Calibri" w:cs="Calibri"/>
          <w:b/>
          <w:caps/>
          <w:sz w:val="24"/>
          <w:u w:val="single"/>
          <w:lang w:val="fr-FR"/>
        </w:rPr>
        <w:t>Modalités de financement</w:t>
      </w:r>
    </w:p>
    <w:p w14:paraId="5486A792" w14:textId="260FEF2E" w:rsidR="00080C70" w:rsidRPr="00080C70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Pr="00080C70">
        <w:rPr>
          <w:rFonts w:ascii="Calibri" w:hAnsi="Calibri" w:cs="Calibri"/>
          <w:sz w:val="24"/>
          <w:lang w:val="fr-FR"/>
        </w:rPr>
        <w:t>e financement couvre la rémunération du doctorant pendant toute la durée du contrat doctoral</w:t>
      </w:r>
      <w:r w:rsidR="003A6B42">
        <w:rPr>
          <w:rFonts w:ascii="Calibri" w:hAnsi="Calibri" w:cs="Calibri"/>
          <w:sz w:val="24"/>
          <w:lang w:val="fr-FR"/>
        </w:rPr>
        <w:t xml:space="preserve"> (3 ans)</w:t>
      </w:r>
      <w:r w:rsidRPr="00080C70">
        <w:rPr>
          <w:rFonts w:ascii="Calibri" w:hAnsi="Calibri" w:cs="Calibri"/>
          <w:sz w:val="24"/>
          <w:lang w:val="fr-FR"/>
        </w:rPr>
        <w:t>.</w:t>
      </w:r>
      <w:r w:rsidR="00FB351D">
        <w:rPr>
          <w:rFonts w:ascii="Calibri" w:hAnsi="Calibri" w:cs="Calibri"/>
          <w:sz w:val="24"/>
          <w:lang w:val="fr-FR"/>
        </w:rPr>
        <w:t xml:space="preserve"> </w:t>
      </w:r>
      <w:r w:rsidRPr="00080C70">
        <w:rPr>
          <w:rFonts w:ascii="Calibri" w:hAnsi="Calibri" w:cs="Calibri"/>
          <w:sz w:val="24"/>
          <w:lang w:val="fr-FR"/>
        </w:rPr>
        <w:t>Les contrats doctoraux débuteront en octobre 2026.</w:t>
      </w:r>
    </w:p>
    <w:p w14:paraId="7FB10BCB" w14:textId="0FA3A566" w:rsidR="00080C70" w:rsidRPr="00080C70" w:rsidRDefault="00080C70" w:rsidP="00773C78">
      <w:pPr>
        <w:spacing w:before="120" w:line="276" w:lineRule="auto"/>
        <w:ind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 xml:space="preserve">Les </w:t>
      </w:r>
      <w:r w:rsidR="00F72264">
        <w:rPr>
          <w:rFonts w:ascii="Calibri" w:hAnsi="Calibri" w:cs="Calibri"/>
          <w:sz w:val="24"/>
          <w:lang w:val="fr-FR"/>
        </w:rPr>
        <w:t>dépenses liées</w:t>
      </w:r>
      <w:r w:rsidRPr="00080C70">
        <w:rPr>
          <w:rFonts w:ascii="Calibri" w:hAnsi="Calibri" w:cs="Calibri"/>
          <w:sz w:val="24"/>
          <w:lang w:val="fr-FR"/>
        </w:rPr>
        <w:t xml:space="preserve"> :</w:t>
      </w:r>
    </w:p>
    <w:p w14:paraId="171C680F" w14:textId="74AFE78B" w:rsidR="00080C70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à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la mobilité internationale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60124957" w14:textId="4C583866" w:rsid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aux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missions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74B0FB87" w14:textId="6F789065" w:rsid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à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l’environnement scientifique du doctorant</w:t>
      </w:r>
      <w:r w:rsidR="00161801">
        <w:rPr>
          <w:rFonts w:ascii="Calibri" w:hAnsi="Calibri" w:cs="Calibri"/>
          <w:sz w:val="24"/>
          <w:lang w:val="fr-FR"/>
        </w:rPr>
        <w:t>,</w:t>
      </w:r>
    </w:p>
    <w:p w14:paraId="44493D14" w14:textId="140CF660" w:rsidR="00080C70" w:rsidRPr="00161801" w:rsidRDefault="00080C70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ainsi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qu’à l’organisation de la soutenance</w:t>
      </w:r>
    </w:p>
    <w:p w14:paraId="288640B8" w14:textId="77777777" w:rsidR="00161801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proofErr w:type="gramStart"/>
      <w:r w:rsidRPr="00080C70">
        <w:rPr>
          <w:rFonts w:ascii="Calibri" w:hAnsi="Calibri" w:cs="Calibri"/>
          <w:sz w:val="24"/>
          <w:lang w:val="fr-FR"/>
        </w:rPr>
        <w:t>ne</w:t>
      </w:r>
      <w:proofErr w:type="gramEnd"/>
      <w:r w:rsidRPr="00080C70">
        <w:rPr>
          <w:rFonts w:ascii="Calibri" w:hAnsi="Calibri" w:cs="Calibri"/>
          <w:sz w:val="24"/>
          <w:lang w:val="fr-FR"/>
        </w:rPr>
        <w:t xml:space="preserve"> sont pas pris en charge dans le cadre du présent appel à projets. </w:t>
      </w:r>
    </w:p>
    <w:p w14:paraId="55E4EBE2" w14:textId="2C3D6DAF" w:rsidR="000B0F21" w:rsidRDefault="00080C70" w:rsidP="00773C78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Les équipes encadrantes et les laboratoires partenaires devront prévoir les moyens nécessaires au bon déroulement du projet doctoral.</w:t>
      </w:r>
    </w:p>
    <w:p w14:paraId="6F613F48" w14:textId="77777777" w:rsidR="000B0F21" w:rsidRPr="00E1528E" w:rsidRDefault="000B0F21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lastRenderedPageBreak/>
        <w:t>Conditions d’éligibilité</w:t>
      </w:r>
    </w:p>
    <w:p w14:paraId="1A8F7BBB" w14:textId="0C9B9E6D" w:rsidR="00A43C77" w:rsidRPr="00A43C77" w:rsidRDefault="00A43C77" w:rsidP="00C96331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projets déposés dans le cadre du présent appel à projets devront s’inscrire dans les axes stratégiques de recherche de l’UPPA et de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A43C77">
        <w:rPr>
          <w:rFonts w:ascii="Calibri" w:hAnsi="Calibri" w:cs="Calibri"/>
          <w:sz w:val="24"/>
          <w:lang w:val="fr-FR"/>
        </w:rPr>
        <w:t>.</w:t>
      </w:r>
    </w:p>
    <w:p w14:paraId="16915F3E" w14:textId="77777777" w:rsidR="00A43C77" w:rsidRPr="00A43C77" w:rsidRDefault="00A43C77" w:rsidP="00C96331">
      <w:pPr>
        <w:spacing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Chaque projet de thèse devra être porté conjointement par :</w:t>
      </w:r>
    </w:p>
    <w:p w14:paraId="25CA8338" w14:textId="5F73A034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un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directeur ou une directrice de thèse rattaché(e) à l’UPPA</w:t>
      </w:r>
      <w:r>
        <w:rPr>
          <w:rFonts w:ascii="Calibri" w:hAnsi="Calibri" w:cs="Calibri"/>
          <w:sz w:val="24"/>
          <w:lang w:val="fr-FR"/>
        </w:rPr>
        <w:t>,</w:t>
      </w:r>
    </w:p>
    <w:p w14:paraId="6518D122" w14:textId="13AF7F1A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un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directeur ou une directrice de thèse rattaché(e) à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A43C77">
        <w:rPr>
          <w:rFonts w:ascii="Calibri" w:hAnsi="Calibri" w:cs="Calibri"/>
          <w:sz w:val="24"/>
          <w:lang w:val="fr-FR"/>
        </w:rPr>
        <w:t>.</w:t>
      </w:r>
    </w:p>
    <w:p w14:paraId="41EE4BAE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devront :</w:t>
      </w:r>
    </w:p>
    <w:p w14:paraId="66D2D524" w14:textId="1291EC61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être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titulaires d’un diplôme national de master ou d’un diplôme équivalent permettant l’inscription en doctorat</w:t>
      </w:r>
      <w:r>
        <w:rPr>
          <w:rFonts w:ascii="Calibri" w:hAnsi="Calibri" w:cs="Calibri"/>
          <w:sz w:val="24"/>
          <w:lang w:val="fr-FR"/>
        </w:rPr>
        <w:t>,</w:t>
      </w:r>
      <w:r w:rsidR="008806EE" w:rsidRPr="00A95F87">
        <w:rPr>
          <w:rFonts w:ascii="Calibri" w:hAnsi="Calibri" w:cs="Calibri"/>
          <w:sz w:val="24"/>
          <w:lang w:val="fr-FR"/>
        </w:rPr>
        <w:t xml:space="preserve"> </w:t>
      </w:r>
      <w:r w:rsidR="008806EE" w:rsidRPr="008806EE">
        <w:rPr>
          <w:rFonts w:ascii="Calibri" w:hAnsi="Calibri" w:cs="Calibri"/>
          <w:sz w:val="24"/>
          <w:lang w:val="fr-FR"/>
        </w:rPr>
        <w:t>ou être en mesure de l’obtenir avant le début du contrat doctoral en octobre 2026</w:t>
      </w:r>
    </w:p>
    <w:p w14:paraId="4147B8A5" w14:textId="6AAC19B5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remplir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les conditions d’admission en doctorat en vigueur dans les deux établissements</w:t>
      </w:r>
      <w:r>
        <w:rPr>
          <w:rFonts w:ascii="Calibri" w:hAnsi="Calibri" w:cs="Calibri"/>
          <w:sz w:val="24"/>
          <w:lang w:val="fr-FR"/>
        </w:rPr>
        <w:t>,</w:t>
      </w:r>
    </w:p>
    <w:p w14:paraId="7783615D" w14:textId="47FAE52F" w:rsidR="00A43C77" w:rsidRPr="00A43C77" w:rsidRDefault="00A43C77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A43C77">
        <w:rPr>
          <w:rFonts w:ascii="Calibri" w:hAnsi="Calibri" w:cs="Calibri"/>
          <w:sz w:val="24"/>
          <w:lang w:val="fr-FR"/>
        </w:rPr>
        <w:t>être</w:t>
      </w:r>
      <w:proofErr w:type="gramEnd"/>
      <w:r w:rsidRPr="00A43C77">
        <w:rPr>
          <w:rFonts w:ascii="Calibri" w:hAnsi="Calibri" w:cs="Calibri"/>
          <w:sz w:val="24"/>
          <w:lang w:val="fr-FR"/>
        </w:rPr>
        <w:t xml:space="preserve"> disponibles pour débuter la thèse en octobre 2026.</w:t>
      </w:r>
    </w:p>
    <w:p w14:paraId="2493562E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déjà inscrits en doctorat ne sont pas éligibles au présent appel à projets.</w:t>
      </w:r>
    </w:p>
    <w:p w14:paraId="04EE3E95" w14:textId="77777777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Chaque projet ne peut être associé qu’à un seul candidat.</w:t>
      </w:r>
    </w:p>
    <w:p w14:paraId="307F90AD" w14:textId="13DBE570" w:rsidR="00A43C77" w:rsidRP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 xml:space="preserve">Lorsqu’un même laboratoire présente plusieurs candidatures, un pré-classement des projets pourra être demandé </w:t>
      </w:r>
      <w:r>
        <w:rPr>
          <w:rFonts w:ascii="Calibri" w:hAnsi="Calibri" w:cs="Calibri"/>
          <w:sz w:val="24"/>
          <w:lang w:val="fr-FR"/>
        </w:rPr>
        <w:t>par l’école doctorale à</w:t>
      </w:r>
      <w:r w:rsidRPr="00A43C77">
        <w:rPr>
          <w:rFonts w:ascii="Calibri" w:hAnsi="Calibri" w:cs="Calibri"/>
          <w:sz w:val="24"/>
          <w:lang w:val="fr-FR"/>
        </w:rPr>
        <w:t xml:space="preserve"> la direction du laboratoire concerné. Ce pré-classement sera transmis à titre indicatif à la commission d’évaluation, qui demeure souveraine dans ses décisions.</w:t>
      </w:r>
    </w:p>
    <w:p w14:paraId="13A8835E" w14:textId="77777777" w:rsidR="00A43C77" w:rsidRDefault="00A43C77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A43C77">
        <w:rPr>
          <w:rFonts w:ascii="Calibri" w:hAnsi="Calibri" w:cs="Calibri"/>
          <w:sz w:val="24"/>
          <w:lang w:val="fr-FR"/>
        </w:rPr>
        <w:t>Les candidats retenus devront satisfaire à l’ensemble des obligations administratives et réglementaires nécessaires à l’établissement du contrat doctoral et à la signature de la convention de cotutelle entre les deux universités.</w:t>
      </w:r>
    </w:p>
    <w:p w14:paraId="141BF564" w14:textId="42739118" w:rsidR="00B37DB2" w:rsidRPr="003C2C09" w:rsidRDefault="00B64ED7" w:rsidP="00773C78">
      <w:pPr>
        <w:spacing w:before="120" w:line="276" w:lineRule="auto"/>
        <w:jc w:val="both"/>
        <w:rPr>
          <w:rFonts w:ascii="Calibri" w:hAnsi="Calibri" w:cs="Calibri"/>
          <w:sz w:val="20"/>
          <w:szCs w:val="20"/>
          <w:u w:val="thick"/>
          <w:lang w:val="fr-FR"/>
        </w:rPr>
      </w:pPr>
      <w:r w:rsidRPr="00B64ED7">
        <w:rPr>
          <w:rFonts w:ascii="Calibri" w:hAnsi="Calibri" w:cs="Calibri"/>
          <w:sz w:val="24"/>
          <w:lang w:val="fr-FR"/>
        </w:rPr>
        <w:t>Les candidats retenus dans le cadre du présent appel à projets ne pourront pas candidater à l’appel à projets correspondant porté par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B64ED7">
        <w:rPr>
          <w:rFonts w:ascii="Calibri" w:hAnsi="Calibri" w:cs="Calibri"/>
          <w:sz w:val="24"/>
          <w:lang w:val="fr-FR"/>
        </w:rPr>
        <w:t>. Les candidats non retenus pourront en revanche y déposer une candidature.</w:t>
      </w:r>
    </w:p>
    <w:p w14:paraId="1E56880A" w14:textId="268B9A46" w:rsidR="00A43C77" w:rsidRPr="00E1528E" w:rsidRDefault="00A43C77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Modalités de candidature</w:t>
      </w:r>
    </w:p>
    <w:p w14:paraId="795776CC" w14:textId="571C26F8" w:rsidR="009A481D" w:rsidRDefault="009A481D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9A481D">
        <w:rPr>
          <w:rFonts w:ascii="Calibri" w:hAnsi="Calibri" w:cs="Calibri"/>
          <w:sz w:val="24"/>
          <w:lang w:val="fr-FR"/>
        </w:rPr>
        <w:t>Le dossie</w:t>
      </w:r>
      <w:r w:rsidR="001C5588">
        <w:rPr>
          <w:rFonts w:ascii="Calibri" w:hAnsi="Calibri" w:cs="Calibri"/>
          <w:sz w:val="24"/>
          <w:lang w:val="fr-FR"/>
        </w:rPr>
        <w:t>r</w:t>
      </w:r>
      <w:r w:rsidR="00637DD1">
        <w:rPr>
          <w:rFonts w:ascii="Calibri" w:hAnsi="Calibri" w:cs="Calibri"/>
          <w:sz w:val="24"/>
          <w:lang w:val="fr-FR"/>
        </w:rPr>
        <w:t xml:space="preserve"> de candidature</w:t>
      </w:r>
      <w:r w:rsidRPr="009A481D">
        <w:rPr>
          <w:rFonts w:ascii="Calibri" w:hAnsi="Calibri" w:cs="Calibri"/>
          <w:sz w:val="24"/>
          <w:lang w:val="fr-FR"/>
        </w:rPr>
        <w:t xml:space="preserve"> pourr</w:t>
      </w:r>
      <w:r w:rsidR="001C5588"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être rédigé en français ou en anglais.</w:t>
      </w:r>
      <w:r w:rsidR="00465D7A">
        <w:rPr>
          <w:rFonts w:ascii="Calibri" w:hAnsi="Calibri" w:cs="Calibri"/>
          <w:sz w:val="24"/>
          <w:lang w:val="fr-FR"/>
        </w:rPr>
        <w:t xml:space="preserve"> </w:t>
      </w:r>
      <w:r w:rsidR="001C5588">
        <w:rPr>
          <w:rFonts w:ascii="Calibri" w:hAnsi="Calibri" w:cs="Calibri"/>
          <w:sz w:val="24"/>
          <w:lang w:val="fr-FR"/>
        </w:rPr>
        <w:t xml:space="preserve">Si le </w:t>
      </w:r>
      <w:r w:rsidRPr="009A481D">
        <w:rPr>
          <w:rFonts w:ascii="Calibri" w:hAnsi="Calibri" w:cs="Calibri"/>
          <w:sz w:val="24"/>
          <w:lang w:val="fr-FR"/>
        </w:rPr>
        <w:t>dossier</w:t>
      </w:r>
      <w:r w:rsidR="00D27FB8">
        <w:rPr>
          <w:rFonts w:ascii="Calibri" w:hAnsi="Calibri" w:cs="Calibri"/>
          <w:sz w:val="24"/>
          <w:lang w:val="fr-FR"/>
        </w:rPr>
        <w:t xml:space="preserve"> est</w:t>
      </w:r>
      <w:r w:rsidRPr="009A481D">
        <w:rPr>
          <w:rFonts w:ascii="Calibri" w:hAnsi="Calibri" w:cs="Calibri"/>
          <w:sz w:val="24"/>
          <w:lang w:val="fr-FR"/>
        </w:rPr>
        <w:t xml:space="preserve"> rédigé en français</w:t>
      </w:r>
      <w:r w:rsidR="001C5588">
        <w:rPr>
          <w:rFonts w:ascii="Calibri" w:hAnsi="Calibri" w:cs="Calibri"/>
          <w:sz w:val="24"/>
          <w:lang w:val="fr-FR"/>
        </w:rPr>
        <w:t>, il</w:t>
      </w:r>
      <w:r w:rsidRPr="009A481D">
        <w:rPr>
          <w:rFonts w:ascii="Calibri" w:hAnsi="Calibri" w:cs="Calibri"/>
          <w:sz w:val="24"/>
          <w:lang w:val="fr-FR"/>
        </w:rPr>
        <w:t xml:space="preserve"> devr</w:t>
      </w:r>
      <w:r w:rsidR="001C5588"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obligatoirement être accompagné d’une traduction en espagnol. </w:t>
      </w:r>
    </w:p>
    <w:p w14:paraId="2EDFABB8" w14:textId="546CBE87" w:rsidR="00637DD1" w:rsidRDefault="00637DD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9A481D">
        <w:rPr>
          <w:rFonts w:ascii="Calibri" w:hAnsi="Calibri" w:cs="Calibri"/>
          <w:sz w:val="24"/>
          <w:lang w:val="fr-FR"/>
        </w:rPr>
        <w:t>Le dossier devr</w:t>
      </w:r>
      <w:r>
        <w:rPr>
          <w:rFonts w:ascii="Calibri" w:hAnsi="Calibri" w:cs="Calibri"/>
          <w:sz w:val="24"/>
          <w:lang w:val="fr-FR"/>
        </w:rPr>
        <w:t>a</w:t>
      </w:r>
      <w:r w:rsidRPr="009A481D">
        <w:rPr>
          <w:rFonts w:ascii="Calibri" w:hAnsi="Calibri" w:cs="Calibri"/>
          <w:sz w:val="24"/>
          <w:lang w:val="fr-FR"/>
        </w:rPr>
        <w:t xml:space="preserve"> être déposé par le porteur scientifique UPPA du projet sur la plateforme </w:t>
      </w:r>
      <w:r w:rsidRPr="00EB46DF">
        <w:rPr>
          <w:rFonts w:ascii="Calibri" w:hAnsi="Calibri" w:cs="Calibri"/>
          <w:sz w:val="24"/>
          <w:lang w:val="fr-FR"/>
        </w:rPr>
        <w:t xml:space="preserve">NUAGE accessible à l’adresse </w:t>
      </w:r>
      <w:proofErr w:type="gramStart"/>
      <w:r w:rsidRPr="00EB46DF">
        <w:rPr>
          <w:rFonts w:ascii="Calibri" w:hAnsi="Calibri" w:cs="Calibri"/>
          <w:sz w:val="24"/>
          <w:lang w:val="fr-FR"/>
        </w:rPr>
        <w:t>suivante</w:t>
      </w:r>
      <w:r w:rsidRPr="009A481D">
        <w:rPr>
          <w:rFonts w:ascii="Calibri" w:hAnsi="Calibri" w:cs="Calibri"/>
          <w:sz w:val="24"/>
          <w:lang w:val="fr-FR"/>
        </w:rPr>
        <w:t xml:space="preserve"> </w:t>
      </w:r>
      <w:r>
        <w:rPr>
          <w:rFonts w:ascii="Calibri" w:hAnsi="Calibri" w:cs="Calibri"/>
          <w:sz w:val="24"/>
          <w:lang w:val="fr-FR"/>
        </w:rPr>
        <w:t xml:space="preserve"> </w:t>
      </w:r>
      <w:r w:rsidRPr="00214499">
        <w:rPr>
          <w:rFonts w:ascii="Calibri" w:hAnsi="Calibri" w:cs="Calibri"/>
          <w:b/>
          <w:i/>
          <w:sz w:val="24"/>
          <w:lang w:val="fr-FR"/>
        </w:rPr>
        <w:t>avant</w:t>
      </w:r>
      <w:proofErr w:type="gramEnd"/>
      <w:r w:rsidRPr="00214499">
        <w:rPr>
          <w:rFonts w:ascii="Calibri" w:hAnsi="Calibri" w:cs="Calibri"/>
          <w:b/>
          <w:i/>
          <w:sz w:val="24"/>
          <w:lang w:val="fr-FR"/>
        </w:rPr>
        <w:t xml:space="preserve"> le 23 juin 2026 à 12h00</w:t>
      </w:r>
      <w:r>
        <w:rPr>
          <w:rFonts w:ascii="Calibri" w:hAnsi="Calibri" w:cs="Calibri"/>
          <w:sz w:val="24"/>
          <w:lang w:val="fr-FR"/>
        </w:rPr>
        <w:t>.</w:t>
      </w:r>
    </w:p>
    <w:p w14:paraId="66C27338" w14:textId="47877554" w:rsidR="00C54293" w:rsidRPr="00C54293" w:rsidRDefault="00C54293" w:rsidP="00773C78">
      <w:pPr>
        <w:spacing w:before="120" w:line="276" w:lineRule="auto"/>
        <w:jc w:val="both"/>
        <w:rPr>
          <w:rStyle w:val="Lienhypertexte"/>
        </w:rPr>
      </w:pPr>
      <w:r>
        <w:fldChar w:fldCharType="begin"/>
      </w:r>
      <w:r>
        <w:instrText xml:space="preserve"> HYPERLINK "https://nuage.univ-pau.fr/s/no8gAxTzR9d6FNs" </w:instrText>
      </w:r>
      <w:r>
        <w:fldChar w:fldCharType="separate"/>
      </w:r>
      <w:r w:rsidRPr="00C54293">
        <w:rPr>
          <w:rStyle w:val="Lienhypertexte"/>
        </w:rPr>
        <w:t>https://nuage.univ-pau.fr/s/no8gAx</w:t>
      </w:r>
      <w:r w:rsidRPr="00C54293">
        <w:rPr>
          <w:rStyle w:val="Lienhypertexte"/>
        </w:rPr>
        <w:t>T</w:t>
      </w:r>
      <w:r w:rsidRPr="00C54293">
        <w:rPr>
          <w:rStyle w:val="Lienhypertexte"/>
        </w:rPr>
        <w:t>zR9d6FNs</w:t>
      </w:r>
    </w:p>
    <w:p w14:paraId="375250C6" w14:textId="1410C61E" w:rsidR="00A43C77" w:rsidRDefault="00C5429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fldChar w:fldCharType="end"/>
      </w:r>
      <w:r w:rsidR="009A481D" w:rsidRPr="009A481D">
        <w:rPr>
          <w:rFonts w:ascii="Calibri" w:hAnsi="Calibri" w:cs="Calibri"/>
          <w:sz w:val="24"/>
          <w:lang w:val="fr-FR"/>
        </w:rPr>
        <w:t>Tout dossier incomplet ou transmis hors délai pourra être déclaré inéligible.</w:t>
      </w:r>
    </w:p>
    <w:p w14:paraId="4A380B9E" w14:textId="239662A5" w:rsidR="00637DD1" w:rsidRPr="009A481D" w:rsidRDefault="00637DD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27FB8">
        <w:rPr>
          <w:rFonts w:ascii="Calibri" w:hAnsi="Calibri" w:cs="Calibri"/>
          <w:sz w:val="24"/>
          <w:lang w:val="fr-FR"/>
        </w:rPr>
        <w:t>En cas de sélection, l’UPPA transmettra à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D27FB8">
        <w:rPr>
          <w:rFonts w:ascii="Calibri" w:hAnsi="Calibri" w:cs="Calibri"/>
          <w:sz w:val="24"/>
          <w:lang w:val="fr-FR"/>
        </w:rPr>
        <w:t xml:space="preserve"> une version du dossier en espagnol ou en anglais.</w:t>
      </w:r>
    </w:p>
    <w:p w14:paraId="0C5318DA" w14:textId="259F841A" w:rsidR="00DF0B83" w:rsidRPr="00E1528E" w:rsidRDefault="00DF0B83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Critères et procédure de sélection</w:t>
      </w:r>
    </w:p>
    <w:p w14:paraId="23804230" w14:textId="56463CAE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Les candidatures seront examinées par une commission de sélection composée de représentants de l’UPPA et de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DF0B83">
        <w:rPr>
          <w:rFonts w:ascii="Calibri" w:hAnsi="Calibri" w:cs="Calibri"/>
          <w:sz w:val="24"/>
          <w:lang w:val="fr-FR"/>
        </w:rPr>
        <w:t>.</w:t>
      </w:r>
    </w:p>
    <w:p w14:paraId="3392C9F9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Pour l’UPPA, la commission réunira notamment :</w:t>
      </w:r>
    </w:p>
    <w:p w14:paraId="428E4425" w14:textId="124760CA" w:rsidR="00DF0B83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le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</w:t>
      </w:r>
      <w:r w:rsidR="00712C0F">
        <w:rPr>
          <w:rFonts w:ascii="Calibri" w:hAnsi="Calibri" w:cs="Calibri"/>
          <w:sz w:val="24"/>
          <w:lang w:val="fr-FR"/>
        </w:rPr>
        <w:t>v</w:t>
      </w:r>
      <w:r w:rsidRPr="00B33C92">
        <w:rPr>
          <w:rFonts w:ascii="Calibri" w:hAnsi="Calibri" w:cs="Calibri"/>
          <w:sz w:val="24"/>
          <w:lang w:val="fr-FR"/>
        </w:rPr>
        <w:t>ice-président Recherche</w:t>
      </w:r>
      <w:r w:rsidR="00B33C92">
        <w:rPr>
          <w:rFonts w:ascii="Calibri" w:hAnsi="Calibri" w:cs="Calibri"/>
          <w:sz w:val="24"/>
          <w:lang w:val="fr-FR"/>
        </w:rPr>
        <w:t>,</w:t>
      </w:r>
    </w:p>
    <w:p w14:paraId="2D87778A" w14:textId="0564CE88" w:rsidR="000C6BC6" w:rsidRPr="00B33C92" w:rsidRDefault="000C6BC6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>
        <w:rPr>
          <w:rFonts w:ascii="Calibri" w:hAnsi="Calibri" w:cs="Calibri"/>
          <w:sz w:val="24"/>
          <w:lang w:val="fr-FR"/>
        </w:rPr>
        <w:t>le</w:t>
      </w:r>
      <w:proofErr w:type="gramEnd"/>
      <w:r>
        <w:rPr>
          <w:rFonts w:ascii="Calibri" w:hAnsi="Calibri" w:cs="Calibri"/>
          <w:sz w:val="24"/>
          <w:lang w:val="fr-FR"/>
        </w:rPr>
        <w:t xml:space="preserve"> </w:t>
      </w:r>
      <w:r w:rsidR="00712C0F">
        <w:rPr>
          <w:rFonts w:ascii="Calibri" w:hAnsi="Calibri" w:cs="Calibri"/>
          <w:sz w:val="24"/>
          <w:lang w:val="fr-FR"/>
        </w:rPr>
        <w:t>v</w:t>
      </w:r>
      <w:r>
        <w:rPr>
          <w:rFonts w:ascii="Calibri" w:hAnsi="Calibri" w:cs="Calibri"/>
          <w:sz w:val="24"/>
          <w:lang w:val="fr-FR"/>
        </w:rPr>
        <w:t>ice-président Relations Internationales,</w:t>
      </w:r>
    </w:p>
    <w:p w14:paraId="76464693" w14:textId="61FFDFA6" w:rsidR="00B33C92" w:rsidRPr="000C6B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0C6BC6">
        <w:rPr>
          <w:rFonts w:ascii="Calibri" w:hAnsi="Calibri" w:cs="Calibri"/>
          <w:sz w:val="24"/>
          <w:lang w:val="fr-FR"/>
        </w:rPr>
        <w:lastRenderedPageBreak/>
        <w:t>les</w:t>
      </w:r>
      <w:proofErr w:type="gramEnd"/>
      <w:r w:rsidRPr="000C6BC6">
        <w:rPr>
          <w:rFonts w:ascii="Calibri" w:hAnsi="Calibri" w:cs="Calibri"/>
          <w:sz w:val="24"/>
          <w:lang w:val="fr-FR"/>
        </w:rPr>
        <w:t xml:space="preserve"> directions des écoles doctorales</w:t>
      </w:r>
      <w:r w:rsidR="000C6BC6">
        <w:rPr>
          <w:rFonts w:ascii="Calibri" w:hAnsi="Calibri" w:cs="Calibri"/>
          <w:sz w:val="24"/>
          <w:lang w:val="fr-FR"/>
        </w:rPr>
        <w:t xml:space="preserve"> et </w:t>
      </w:r>
      <w:r w:rsidRPr="000C6BC6">
        <w:rPr>
          <w:rFonts w:ascii="Calibri" w:hAnsi="Calibri" w:cs="Calibri"/>
          <w:sz w:val="24"/>
          <w:lang w:val="fr-FR"/>
        </w:rPr>
        <w:t>du Centre des Études Doctorales</w:t>
      </w:r>
      <w:r w:rsidR="00B33C92" w:rsidRPr="000C6BC6">
        <w:rPr>
          <w:rFonts w:ascii="Calibri" w:hAnsi="Calibri" w:cs="Calibri"/>
          <w:sz w:val="24"/>
          <w:lang w:val="fr-FR"/>
        </w:rPr>
        <w:t>,</w:t>
      </w:r>
    </w:p>
    <w:p w14:paraId="12F64003" w14:textId="6FEF5404" w:rsidR="00B33C92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des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</w:t>
      </w:r>
      <w:r w:rsidR="000C6BC6">
        <w:rPr>
          <w:rFonts w:ascii="Calibri" w:hAnsi="Calibri" w:cs="Calibri"/>
          <w:sz w:val="24"/>
          <w:lang w:val="fr-FR"/>
        </w:rPr>
        <w:t>directeurs adjoints Recherche et Innovation ou Master Doctorat des collèges</w:t>
      </w:r>
      <w:r w:rsidR="00B33C92" w:rsidRPr="00B33C92">
        <w:rPr>
          <w:rFonts w:ascii="Calibri" w:hAnsi="Calibri" w:cs="Calibri"/>
          <w:sz w:val="24"/>
          <w:lang w:val="fr-FR"/>
        </w:rPr>
        <w:t>,</w:t>
      </w:r>
    </w:p>
    <w:p w14:paraId="33F2EB5F" w14:textId="6284901F" w:rsidR="00DF0B83" w:rsidRPr="00B33C92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B33C92">
        <w:rPr>
          <w:rFonts w:ascii="Calibri" w:hAnsi="Calibri" w:cs="Calibri"/>
          <w:sz w:val="24"/>
          <w:lang w:val="fr-FR"/>
        </w:rPr>
        <w:t>ainsi</w:t>
      </w:r>
      <w:proofErr w:type="gramEnd"/>
      <w:r w:rsidRPr="00B33C92">
        <w:rPr>
          <w:rFonts w:ascii="Calibri" w:hAnsi="Calibri" w:cs="Calibri"/>
          <w:sz w:val="24"/>
          <w:lang w:val="fr-FR"/>
        </w:rPr>
        <w:t xml:space="preserve"> qu’un représentant de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B33C92">
        <w:rPr>
          <w:rFonts w:ascii="Calibri" w:hAnsi="Calibri" w:cs="Calibri"/>
          <w:sz w:val="24"/>
          <w:lang w:val="fr-FR"/>
        </w:rPr>
        <w:t>.</w:t>
      </w:r>
    </w:p>
    <w:p w14:paraId="6DF9202D" w14:textId="77777777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La sélection reposera principalement sur :</w:t>
      </w:r>
    </w:p>
    <w:p w14:paraId="04771C14" w14:textId="4A8051C2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l’excellence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académique du candidat</w:t>
      </w:r>
      <w:r w:rsidR="004914C6">
        <w:rPr>
          <w:rFonts w:ascii="Calibri" w:hAnsi="Calibri" w:cs="Calibri"/>
          <w:sz w:val="24"/>
          <w:lang w:val="fr-FR"/>
        </w:rPr>
        <w:t>,</w:t>
      </w:r>
    </w:p>
    <w:p w14:paraId="687CD513" w14:textId="079BD893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la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qualité scientifique et l’originalité du projet de thèse</w:t>
      </w:r>
      <w:r w:rsidR="004914C6">
        <w:rPr>
          <w:rFonts w:ascii="Calibri" w:hAnsi="Calibri" w:cs="Calibri"/>
          <w:sz w:val="24"/>
          <w:lang w:val="fr-FR"/>
        </w:rPr>
        <w:t>,</w:t>
      </w:r>
    </w:p>
    <w:p w14:paraId="43C79B28" w14:textId="36BF3DD9" w:rsidR="00DF0B83" w:rsidRPr="004914C6" w:rsidRDefault="00DF0B83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4914C6">
        <w:rPr>
          <w:rFonts w:ascii="Calibri" w:hAnsi="Calibri" w:cs="Calibri"/>
          <w:sz w:val="24"/>
          <w:lang w:val="fr-FR"/>
        </w:rPr>
        <w:t>l’adéquation</w:t>
      </w:r>
      <w:proofErr w:type="gramEnd"/>
      <w:r w:rsidRPr="004914C6">
        <w:rPr>
          <w:rFonts w:ascii="Calibri" w:hAnsi="Calibri" w:cs="Calibri"/>
          <w:sz w:val="24"/>
          <w:lang w:val="fr-FR"/>
        </w:rPr>
        <w:t xml:space="preserve"> du projet avec les axes stratégiques des établissements partenaires.</w:t>
      </w:r>
    </w:p>
    <w:p w14:paraId="5F689B7B" w14:textId="7409DD7F" w:rsidR="00A911C9" w:rsidRDefault="00A911C9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Le résultat de l’évaluation sera communiqué aux candidats non retenus.</w:t>
      </w:r>
    </w:p>
    <w:p w14:paraId="7425FBF8" w14:textId="3B23971A" w:rsidR="00DF0B83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À l’issue de l’évaluation, une liste principale ainsi qu’une liste complémentaire seront établies.</w:t>
      </w:r>
    </w:p>
    <w:p w14:paraId="6C5F97C6" w14:textId="2A4E80D7" w:rsidR="00E545D6" w:rsidRP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 xml:space="preserve">En cas de désistement d’un candidat retenu sur liste principale, le premier candidat figurant sur liste complémentaire </w:t>
      </w:r>
      <w:r w:rsidR="006D42EE">
        <w:rPr>
          <w:rFonts w:ascii="Calibri" w:hAnsi="Calibri" w:cs="Calibri"/>
          <w:sz w:val="24"/>
          <w:lang w:val="fr-FR"/>
        </w:rPr>
        <w:t>sera</w:t>
      </w:r>
      <w:r w:rsidRPr="00DF0B83">
        <w:rPr>
          <w:rFonts w:ascii="Calibri" w:hAnsi="Calibri" w:cs="Calibri"/>
          <w:sz w:val="24"/>
          <w:lang w:val="fr-FR"/>
        </w:rPr>
        <w:t xml:space="preserve"> sollicité.</w:t>
      </w:r>
    </w:p>
    <w:p w14:paraId="13488A0D" w14:textId="20B17FF7" w:rsidR="00DF0B83" w:rsidRDefault="00DF0B8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DF0B83">
        <w:rPr>
          <w:rFonts w:ascii="Calibri" w:hAnsi="Calibri" w:cs="Calibri"/>
          <w:sz w:val="24"/>
          <w:lang w:val="fr-FR"/>
        </w:rPr>
        <w:t>Les résultats seront communiqués aux porteurs de projet et aux candidats à l’issue de la procédure de sélection.</w:t>
      </w:r>
    </w:p>
    <w:p w14:paraId="5325B694" w14:textId="77777777" w:rsidR="00C51DFB" w:rsidRPr="00E1528E" w:rsidRDefault="00C51DFB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Obligations des doctorants retenus</w:t>
      </w:r>
    </w:p>
    <w:p w14:paraId="68DA3A95" w14:textId="3BBFDA4C" w:rsid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Les doctorants recrutés dans le cadre du présent appel à projets devront respecter les réglementations et procédures en vigueur au sein de l’UPPA et de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C51DFB">
        <w:rPr>
          <w:rFonts w:ascii="Calibri" w:hAnsi="Calibri" w:cs="Calibri"/>
          <w:sz w:val="24"/>
          <w:lang w:val="fr-FR"/>
        </w:rPr>
        <w:t xml:space="preserve"> relatives à la formation doctorale et aux cotutelles internationales de thèse.</w:t>
      </w:r>
    </w:p>
    <w:p w14:paraId="170658C6" w14:textId="48868620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Une convention de cotutelle devra être établie et signée entre les deux établissements. Cette convention précisera notamment :</w:t>
      </w:r>
    </w:p>
    <w:p w14:paraId="698853F5" w14:textId="0202D3C1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modalités d’encadrement de la thèse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2E09C867" w14:textId="49DF15E4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périodes de mobilité dans chaque établissement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4859EE8F" w14:textId="0AD3ADEF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conditions d’inscription</w:t>
      </w:r>
      <w:r>
        <w:rPr>
          <w:rFonts w:ascii="Calibri" w:hAnsi="Calibri" w:cs="Calibri"/>
          <w:sz w:val="24"/>
          <w:lang w:val="fr-FR"/>
        </w:rPr>
        <w:t>,</w:t>
      </w:r>
    </w:p>
    <w:p w14:paraId="3D21C74E" w14:textId="77777777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les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modalités de soutenance et de délivrance du diplôme. </w:t>
      </w:r>
    </w:p>
    <w:p w14:paraId="53E7CFA1" w14:textId="77777777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Pendant la durée de la thèse, les doctorants devront :</w:t>
      </w:r>
    </w:p>
    <w:p w14:paraId="7F153A96" w14:textId="39B25A7E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être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inscrits administrativement dans les deux universités conformément aux règles applicables à la cotutelle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6C758A4B" w14:textId="1D8520E2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respecter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les obligations de formation doctorale prévues par les deux établissements</w:t>
      </w:r>
      <w:r>
        <w:rPr>
          <w:rFonts w:ascii="Calibri" w:hAnsi="Calibri" w:cs="Calibri"/>
          <w:sz w:val="24"/>
          <w:lang w:val="fr-FR"/>
        </w:rPr>
        <w:t>,</w:t>
      </w:r>
      <w:r w:rsidRPr="00C51DFB">
        <w:rPr>
          <w:rFonts w:ascii="Calibri" w:hAnsi="Calibri" w:cs="Calibri"/>
          <w:sz w:val="24"/>
          <w:lang w:val="fr-FR"/>
        </w:rPr>
        <w:t xml:space="preserve"> </w:t>
      </w:r>
    </w:p>
    <w:p w14:paraId="71031213" w14:textId="77777777" w:rsidR="00C51DFB" w:rsidRPr="00C51DFB" w:rsidRDefault="00C51DFB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C51DFB">
        <w:rPr>
          <w:rFonts w:ascii="Calibri" w:hAnsi="Calibri" w:cs="Calibri"/>
          <w:sz w:val="24"/>
          <w:lang w:val="fr-FR"/>
        </w:rPr>
        <w:t>se</w:t>
      </w:r>
      <w:proofErr w:type="gramEnd"/>
      <w:r w:rsidRPr="00C51DFB">
        <w:rPr>
          <w:rFonts w:ascii="Calibri" w:hAnsi="Calibri" w:cs="Calibri"/>
          <w:sz w:val="24"/>
          <w:lang w:val="fr-FR"/>
        </w:rPr>
        <w:t xml:space="preserve"> conformer aux règles administratives et scientifiques applicables dans chacun des établissements partenaires. </w:t>
      </w:r>
    </w:p>
    <w:p w14:paraId="24ED2759" w14:textId="25283EAC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 xml:space="preserve">Dans le cadre de la cotutelle, le doctorant devra effectuer une </w:t>
      </w:r>
      <w:r w:rsidRPr="00161801">
        <w:rPr>
          <w:rFonts w:ascii="Calibri" w:hAnsi="Calibri" w:cs="Calibri"/>
          <w:b/>
          <w:i/>
          <w:sz w:val="24"/>
          <w:lang w:val="fr-FR"/>
        </w:rPr>
        <w:t xml:space="preserve">mobilité </w:t>
      </w:r>
      <w:r w:rsidRPr="00080C70">
        <w:rPr>
          <w:rFonts w:ascii="Calibri" w:hAnsi="Calibri" w:cs="Calibri"/>
          <w:sz w:val="24"/>
          <w:lang w:val="fr-FR"/>
        </w:rPr>
        <w:t>au sein de l’</w:t>
      </w:r>
      <w:r>
        <w:rPr>
          <w:rFonts w:ascii="Calibri" w:hAnsi="Calibri" w:cs="Calibri"/>
          <w:sz w:val="24"/>
          <w:lang w:val="fr-FR"/>
        </w:rPr>
        <w:t>UP</w:t>
      </w:r>
      <w:r w:rsidR="001A01C6">
        <w:rPr>
          <w:rFonts w:ascii="Calibri" w:hAnsi="Calibri" w:cs="Calibri"/>
          <w:sz w:val="24"/>
          <w:lang w:val="fr-FR"/>
        </w:rPr>
        <w:t>NA</w:t>
      </w:r>
      <w:r>
        <w:rPr>
          <w:rFonts w:ascii="Calibri" w:hAnsi="Calibri" w:cs="Calibri"/>
          <w:sz w:val="24"/>
          <w:lang w:val="fr-FR"/>
        </w:rPr>
        <w:t xml:space="preserve"> </w:t>
      </w:r>
      <w:r w:rsidRPr="00080C70">
        <w:rPr>
          <w:rFonts w:ascii="Calibri" w:hAnsi="Calibri" w:cs="Calibri"/>
          <w:sz w:val="24"/>
          <w:lang w:val="fr-FR"/>
        </w:rPr>
        <w:t xml:space="preserve">d’une durée minimale cumulée de </w:t>
      </w:r>
      <w:r w:rsidRPr="00161801">
        <w:rPr>
          <w:rFonts w:ascii="Calibri" w:hAnsi="Calibri" w:cs="Calibri"/>
          <w:b/>
          <w:i/>
          <w:sz w:val="24"/>
          <w:lang w:val="fr-FR"/>
        </w:rPr>
        <w:t>neuf mois</w:t>
      </w:r>
      <w:r w:rsidRPr="00080C70">
        <w:rPr>
          <w:rFonts w:ascii="Calibri" w:hAnsi="Calibri" w:cs="Calibri"/>
          <w:sz w:val="24"/>
          <w:lang w:val="fr-FR"/>
        </w:rPr>
        <w:t>, selon des modalités définies dans la convention de cotutelle.</w:t>
      </w:r>
    </w:p>
    <w:p w14:paraId="390B431F" w14:textId="115CAEA2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Le doctorant acquitter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les droits d’inscription à l’UPPA pendant la durée de </w:t>
      </w:r>
      <w:r>
        <w:rPr>
          <w:rFonts w:ascii="Calibri" w:hAnsi="Calibri" w:cs="Calibri"/>
          <w:sz w:val="24"/>
          <w:lang w:val="fr-FR"/>
        </w:rPr>
        <w:t>son</w:t>
      </w:r>
      <w:r w:rsidRPr="00080C70">
        <w:rPr>
          <w:rFonts w:ascii="Calibri" w:hAnsi="Calibri" w:cs="Calibri"/>
          <w:sz w:val="24"/>
          <w:lang w:val="fr-FR"/>
        </w:rPr>
        <w:t xml:space="preserve"> contrat doctoral et ser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exonéré des droits d’inscription à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080C70">
        <w:rPr>
          <w:rFonts w:ascii="Calibri" w:hAnsi="Calibri" w:cs="Calibri"/>
          <w:sz w:val="24"/>
          <w:lang w:val="fr-FR"/>
        </w:rPr>
        <w:t xml:space="preserve"> durant les trois premières années de thèse.</w:t>
      </w:r>
    </w:p>
    <w:p w14:paraId="001AC22D" w14:textId="77777777" w:rsidR="0087579A" w:rsidRPr="00080C70" w:rsidRDefault="0087579A" w:rsidP="00773C78">
      <w:pPr>
        <w:spacing w:before="120" w:line="276" w:lineRule="auto"/>
        <w:ind w:left="136" w:right="215"/>
        <w:jc w:val="both"/>
        <w:rPr>
          <w:rFonts w:ascii="Calibri" w:hAnsi="Calibri" w:cs="Calibri"/>
          <w:sz w:val="24"/>
          <w:lang w:val="fr-FR"/>
        </w:rPr>
      </w:pPr>
      <w:r w:rsidRPr="00080C70">
        <w:rPr>
          <w:rFonts w:ascii="Calibri" w:hAnsi="Calibri" w:cs="Calibri"/>
          <w:sz w:val="24"/>
          <w:lang w:val="fr-FR"/>
        </w:rPr>
        <w:t>Il devr</w:t>
      </w:r>
      <w:r>
        <w:rPr>
          <w:rFonts w:ascii="Calibri" w:hAnsi="Calibri" w:cs="Calibri"/>
          <w:sz w:val="24"/>
          <w:lang w:val="fr-FR"/>
        </w:rPr>
        <w:t>a</w:t>
      </w:r>
      <w:r w:rsidRPr="00080C70">
        <w:rPr>
          <w:rFonts w:ascii="Calibri" w:hAnsi="Calibri" w:cs="Calibri"/>
          <w:sz w:val="24"/>
          <w:lang w:val="fr-FR"/>
        </w:rPr>
        <w:t xml:space="preserve"> également s’acquitter :</w:t>
      </w:r>
    </w:p>
    <w:p w14:paraId="1D97D785" w14:textId="77777777" w:rsidR="0087579A" w:rsidRPr="00161801" w:rsidRDefault="0087579A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de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la contribution de vie étudiante et de campus (CVEC), conformément à la réglementation française en vigueur</w:t>
      </w:r>
      <w:r>
        <w:rPr>
          <w:rFonts w:ascii="Calibri" w:hAnsi="Calibri" w:cs="Calibri"/>
          <w:sz w:val="24"/>
          <w:lang w:val="fr-FR"/>
        </w:rPr>
        <w:t>,</w:t>
      </w:r>
    </w:p>
    <w:p w14:paraId="6533D25F" w14:textId="3EECF135" w:rsidR="0087579A" w:rsidRDefault="0087579A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161801">
        <w:rPr>
          <w:rFonts w:ascii="Calibri" w:hAnsi="Calibri" w:cs="Calibri"/>
          <w:sz w:val="24"/>
          <w:lang w:val="fr-FR"/>
        </w:rPr>
        <w:t>des</w:t>
      </w:r>
      <w:proofErr w:type="gramEnd"/>
      <w:r w:rsidRPr="00161801">
        <w:rPr>
          <w:rFonts w:ascii="Calibri" w:hAnsi="Calibri" w:cs="Calibri"/>
          <w:sz w:val="24"/>
          <w:lang w:val="fr-FR"/>
        </w:rPr>
        <w:t xml:space="preserve"> éventuels frais administratifs ou frais de délivrance du diplôme applicables à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161801">
        <w:rPr>
          <w:rFonts w:ascii="Calibri" w:hAnsi="Calibri" w:cs="Calibri"/>
          <w:sz w:val="24"/>
          <w:lang w:val="fr-FR"/>
        </w:rPr>
        <w:t>.</w:t>
      </w:r>
    </w:p>
    <w:p w14:paraId="1DD94E6D" w14:textId="77910250" w:rsidR="00C51DFB" w:rsidRP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lastRenderedPageBreak/>
        <w:t>Bien que les doctorants recrutés dans le cadre du présent appel soient financés par l’UPPA et soumis à la réglementation française applicable aux contrats doctoraux, ils devront également satisfaire aux exigences réglementaires et académiques de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C51DFB">
        <w:rPr>
          <w:rFonts w:ascii="Calibri" w:hAnsi="Calibri" w:cs="Calibri"/>
          <w:sz w:val="24"/>
          <w:lang w:val="fr-FR"/>
        </w:rPr>
        <w:t>, notamment en ce qui concerne le suivi et le dépôt du projet doctoral.</w:t>
      </w:r>
    </w:p>
    <w:p w14:paraId="34A27840" w14:textId="1078CF19" w:rsidR="00C51DFB" w:rsidRDefault="00C51DFB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C51DFB">
        <w:rPr>
          <w:rFonts w:ascii="Calibri" w:hAnsi="Calibri" w:cs="Calibri"/>
          <w:sz w:val="24"/>
          <w:lang w:val="fr-FR"/>
        </w:rPr>
        <w:t>Les dispositions applicables sont celles prévues dans les conventions de coopération et de cotutelle conclues entre l’UPPA et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Pr="00C51DFB">
        <w:rPr>
          <w:rFonts w:ascii="Calibri" w:hAnsi="Calibri" w:cs="Calibri"/>
          <w:sz w:val="24"/>
          <w:lang w:val="fr-FR"/>
        </w:rPr>
        <w:t>. Pour tout aspect non prévu par ces conventions, la réglementation du pays financeur de la thèse s’appliquera.</w:t>
      </w:r>
    </w:p>
    <w:p w14:paraId="6B4B09A1" w14:textId="77777777" w:rsidR="008104E5" w:rsidRPr="00E1528E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E1528E">
        <w:rPr>
          <w:rFonts w:ascii="Calibri" w:hAnsi="Calibri" w:cs="Calibri"/>
          <w:b/>
          <w:caps/>
          <w:sz w:val="24"/>
          <w:u w:val="single"/>
          <w:lang w:val="fr-FR"/>
        </w:rPr>
        <w:t>Calendrier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917"/>
        <w:gridCol w:w="4065"/>
      </w:tblGrid>
      <w:tr w:rsidR="008104E5" w:rsidRPr="008104E5" w14:paraId="079BD83C" w14:textId="77777777" w:rsidTr="00C96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38BD4313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b w:val="0"/>
                <w:bCs w:val="0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Étape</w:t>
            </w:r>
          </w:p>
        </w:tc>
        <w:tc>
          <w:tcPr>
            <w:tcW w:w="4065" w:type="dxa"/>
            <w:hideMark/>
          </w:tcPr>
          <w:p w14:paraId="4FC304CC" w14:textId="77777777" w:rsidR="008104E5" w:rsidRPr="008104E5" w:rsidRDefault="008104E5" w:rsidP="004B69CF">
            <w:pPr>
              <w:spacing w:before="6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Date prévisionnelle</w:t>
            </w:r>
          </w:p>
        </w:tc>
      </w:tr>
      <w:tr w:rsidR="008104E5" w:rsidRPr="008104E5" w14:paraId="68C32E7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00C32C46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Ouverture de l’appel à projets UPPA</w:t>
            </w:r>
          </w:p>
        </w:tc>
        <w:tc>
          <w:tcPr>
            <w:tcW w:w="4065" w:type="dxa"/>
            <w:hideMark/>
          </w:tcPr>
          <w:p w14:paraId="5A862EED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Mai 2026</w:t>
            </w:r>
          </w:p>
        </w:tc>
      </w:tr>
      <w:tr w:rsidR="008104E5" w:rsidRPr="00E1528E" w14:paraId="6FFC505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22DA4D8B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Date limite de dépôt des candidatures</w:t>
            </w:r>
          </w:p>
        </w:tc>
        <w:tc>
          <w:tcPr>
            <w:tcW w:w="4065" w:type="dxa"/>
            <w:hideMark/>
          </w:tcPr>
          <w:p w14:paraId="2BDD9DD2" w14:textId="71FF0938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23 juin 2026 à 12h00</w:t>
            </w:r>
          </w:p>
        </w:tc>
      </w:tr>
      <w:tr w:rsidR="008104E5" w:rsidRPr="008104E5" w14:paraId="7A986DC9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3DA2E549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Examen des candidatures par la commission</w:t>
            </w:r>
          </w:p>
        </w:tc>
        <w:tc>
          <w:tcPr>
            <w:tcW w:w="4065" w:type="dxa"/>
            <w:hideMark/>
          </w:tcPr>
          <w:p w14:paraId="2D42E6AE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Mi-juillet 2026</w:t>
            </w:r>
          </w:p>
        </w:tc>
      </w:tr>
      <w:tr w:rsidR="008104E5" w:rsidRPr="008104E5" w14:paraId="1B4036D6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44B8AA49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Publication des résultats</w:t>
            </w:r>
          </w:p>
        </w:tc>
        <w:tc>
          <w:tcPr>
            <w:tcW w:w="4065" w:type="dxa"/>
            <w:hideMark/>
          </w:tcPr>
          <w:p w14:paraId="7B698C81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Mi-juillet 2026</w:t>
            </w:r>
          </w:p>
        </w:tc>
      </w:tr>
      <w:tr w:rsidR="008104E5" w:rsidRPr="008104E5" w14:paraId="3FBA988C" w14:textId="77777777" w:rsidTr="00C96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7" w:type="dxa"/>
            <w:hideMark/>
          </w:tcPr>
          <w:p w14:paraId="098480E5" w14:textId="77777777" w:rsidR="008104E5" w:rsidRPr="008104E5" w:rsidRDefault="008104E5" w:rsidP="004B69CF">
            <w:pPr>
              <w:spacing w:before="60" w:line="276" w:lineRule="auto"/>
              <w:jc w:val="both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Début des contrats doctoraux</w:t>
            </w:r>
          </w:p>
        </w:tc>
        <w:tc>
          <w:tcPr>
            <w:tcW w:w="4065" w:type="dxa"/>
            <w:hideMark/>
          </w:tcPr>
          <w:p w14:paraId="3B5179CE" w14:textId="77777777" w:rsidR="008104E5" w:rsidRPr="008104E5" w:rsidRDefault="008104E5" w:rsidP="004B69CF">
            <w:pPr>
              <w:spacing w:before="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lang w:val="fr-FR"/>
              </w:rPr>
            </w:pPr>
            <w:r w:rsidRPr="008104E5">
              <w:rPr>
                <w:rFonts w:ascii="Calibri" w:hAnsi="Calibri" w:cs="Calibri"/>
                <w:sz w:val="24"/>
                <w:lang w:val="fr-FR"/>
              </w:rPr>
              <w:t>Octobre 2026</w:t>
            </w:r>
          </w:p>
        </w:tc>
      </w:tr>
    </w:tbl>
    <w:p w14:paraId="5A42A7FB" w14:textId="77777777" w:rsidR="008104E5" w:rsidRPr="001C5588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1C5588">
        <w:rPr>
          <w:rFonts w:ascii="Calibri" w:hAnsi="Calibri" w:cs="Calibri"/>
          <w:b/>
          <w:caps/>
          <w:sz w:val="24"/>
          <w:u w:val="single"/>
          <w:lang w:val="fr-FR"/>
        </w:rPr>
        <w:t>Réglementation applicable</w:t>
      </w:r>
    </w:p>
    <w:p w14:paraId="4A3340BE" w14:textId="0E135988" w:rsidR="008104E5" w:rsidRPr="008104E5" w:rsidRDefault="00B80224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B80224">
        <w:rPr>
          <w:rFonts w:ascii="Calibri" w:hAnsi="Calibri" w:cs="Calibri"/>
          <w:sz w:val="24"/>
          <w:lang w:val="fr-FR"/>
        </w:rPr>
        <w:t>Les doctorants recrutés par l’UPPA dans le cadre du présent appel à projets seront soumis à la réglementation française en vigueur applicable au contrat doctoral, notamment au décret n° 2016-1173 du 29 août 2016 relatif aux doctorants contractuels</w:t>
      </w:r>
      <w:r w:rsidR="008104E5" w:rsidRPr="008104E5">
        <w:rPr>
          <w:rFonts w:ascii="Calibri" w:hAnsi="Calibri" w:cs="Calibri"/>
          <w:sz w:val="24"/>
          <w:lang w:val="fr-FR"/>
        </w:rPr>
        <w:t>.</w:t>
      </w:r>
    </w:p>
    <w:p w14:paraId="2B479CD4" w14:textId="77777777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>Les projets financés dans le cadre du présent appel devront également respecter :</w:t>
      </w:r>
    </w:p>
    <w:p w14:paraId="755848C1" w14:textId="5E071EB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les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règles applicables à la formation doctorale au sein de l’UPPA et de l’UP</w:t>
      </w:r>
      <w:r w:rsidR="001A01C6">
        <w:rPr>
          <w:rFonts w:ascii="Calibri" w:hAnsi="Calibri" w:cs="Calibri"/>
          <w:sz w:val="24"/>
          <w:lang w:val="fr-FR"/>
        </w:rPr>
        <w:t>NA</w:t>
      </w:r>
      <w:r>
        <w:rPr>
          <w:rFonts w:ascii="Calibri" w:hAnsi="Calibri" w:cs="Calibri"/>
          <w:sz w:val="24"/>
          <w:lang w:val="fr-FR"/>
        </w:rPr>
        <w:t>,</w:t>
      </w:r>
    </w:p>
    <w:p w14:paraId="56EC08DA" w14:textId="7E821518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les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dispositions prévues dans les conventions de coopération et de cotutelle conclues entre les deux établissements</w:t>
      </w:r>
      <w:r>
        <w:rPr>
          <w:rFonts w:ascii="Calibri" w:hAnsi="Calibri" w:cs="Calibri"/>
          <w:sz w:val="24"/>
          <w:lang w:val="fr-FR"/>
        </w:rPr>
        <w:t>,</w:t>
      </w:r>
    </w:p>
    <w:p w14:paraId="381C6D09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proofErr w:type="gramStart"/>
      <w:r w:rsidRPr="008104E5">
        <w:rPr>
          <w:rFonts w:ascii="Calibri" w:hAnsi="Calibri" w:cs="Calibri"/>
          <w:sz w:val="24"/>
          <w:lang w:val="fr-FR"/>
        </w:rPr>
        <w:t>ainsi</w:t>
      </w:r>
      <w:proofErr w:type="gramEnd"/>
      <w:r w:rsidRPr="008104E5">
        <w:rPr>
          <w:rFonts w:ascii="Calibri" w:hAnsi="Calibri" w:cs="Calibri"/>
          <w:sz w:val="24"/>
          <w:lang w:val="fr-FR"/>
        </w:rPr>
        <w:t xml:space="preserve"> que les règlements des écoles doctorales concernées. </w:t>
      </w:r>
    </w:p>
    <w:p w14:paraId="358FC3F1" w14:textId="77777777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>Les doctorants recrutés dans le cadre du présent appel ne peuvent pas être déjà inscrits en doctorat au moment de leur recrutement.</w:t>
      </w:r>
    </w:p>
    <w:p w14:paraId="675CCDF0" w14:textId="27FB6228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Les instances des établissements </w:t>
      </w:r>
      <w:r w:rsidR="001E1362">
        <w:rPr>
          <w:rFonts w:ascii="Calibri" w:hAnsi="Calibri" w:cs="Calibri"/>
          <w:sz w:val="24"/>
          <w:lang w:val="fr-FR"/>
        </w:rPr>
        <w:t>(Ecoles doctorales, Collèges, Commission de la Recherche, Directeurs des laboratoires pour l’UPPA, Direction de la Recherche, Ecole doctorale pour l’UP</w:t>
      </w:r>
      <w:r w:rsidR="001A01C6">
        <w:rPr>
          <w:rFonts w:ascii="Calibri" w:hAnsi="Calibri" w:cs="Calibri"/>
          <w:sz w:val="24"/>
          <w:lang w:val="fr-FR"/>
        </w:rPr>
        <w:t>NA</w:t>
      </w:r>
      <w:r w:rsidR="001E1362">
        <w:rPr>
          <w:rFonts w:ascii="Calibri" w:hAnsi="Calibri" w:cs="Calibri"/>
          <w:sz w:val="24"/>
          <w:lang w:val="fr-FR"/>
        </w:rPr>
        <w:t xml:space="preserve">) </w:t>
      </w:r>
      <w:r w:rsidRPr="008104E5">
        <w:rPr>
          <w:rFonts w:ascii="Calibri" w:hAnsi="Calibri" w:cs="Calibri"/>
          <w:sz w:val="24"/>
          <w:lang w:val="fr-FR"/>
        </w:rPr>
        <w:t>seront tenues informées du déroulement de la procédure de sélection et des résultats.</w:t>
      </w:r>
    </w:p>
    <w:p w14:paraId="582B4A91" w14:textId="77777777" w:rsidR="008104E5" w:rsidRPr="001C5588" w:rsidRDefault="008104E5" w:rsidP="0050188B">
      <w:pPr>
        <w:spacing w:before="240" w:after="120" w:line="276" w:lineRule="auto"/>
        <w:jc w:val="both"/>
        <w:rPr>
          <w:rFonts w:ascii="Calibri" w:hAnsi="Calibri" w:cs="Calibri"/>
          <w:b/>
          <w:caps/>
          <w:sz w:val="24"/>
          <w:u w:val="single"/>
          <w:lang w:val="fr-FR"/>
        </w:rPr>
      </w:pPr>
      <w:r w:rsidRPr="001C5588">
        <w:rPr>
          <w:rFonts w:ascii="Calibri" w:hAnsi="Calibri" w:cs="Calibri"/>
          <w:b/>
          <w:caps/>
          <w:sz w:val="24"/>
          <w:u w:val="single"/>
          <w:lang w:val="fr-FR"/>
        </w:rPr>
        <w:t>Contacts et informations complémentaires</w:t>
      </w:r>
    </w:p>
    <w:p w14:paraId="0FD8935E" w14:textId="790FEA47" w:rsidR="008104E5" w:rsidRPr="008104E5" w:rsidRDefault="00C75371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>
        <w:rPr>
          <w:rFonts w:ascii="Calibri" w:hAnsi="Calibri" w:cs="Calibri"/>
          <w:sz w:val="24"/>
          <w:lang w:val="fr-FR"/>
        </w:rPr>
        <w:t>L</w:t>
      </w:r>
      <w:r w:rsidR="008104E5" w:rsidRPr="008104E5">
        <w:rPr>
          <w:rFonts w:ascii="Calibri" w:hAnsi="Calibri" w:cs="Calibri"/>
          <w:sz w:val="24"/>
          <w:lang w:val="fr-FR"/>
        </w:rPr>
        <w:t xml:space="preserve">es informations </w:t>
      </w:r>
      <w:r>
        <w:rPr>
          <w:rFonts w:ascii="Calibri" w:hAnsi="Calibri" w:cs="Calibri"/>
          <w:sz w:val="24"/>
          <w:lang w:val="fr-FR"/>
        </w:rPr>
        <w:t xml:space="preserve">relatives au présent appel à projets peuvent être consultées </w:t>
      </w:r>
      <w:r w:rsidR="00375AAE">
        <w:rPr>
          <w:rFonts w:ascii="Calibri" w:hAnsi="Calibri" w:cs="Calibri"/>
          <w:sz w:val="24"/>
          <w:lang w:val="fr-FR"/>
        </w:rPr>
        <w:t xml:space="preserve">sur les sites des </w:t>
      </w:r>
      <w:r w:rsidR="008104E5" w:rsidRPr="008104E5">
        <w:rPr>
          <w:rFonts w:ascii="Calibri" w:hAnsi="Calibri" w:cs="Calibri"/>
          <w:sz w:val="24"/>
          <w:lang w:val="fr-FR"/>
        </w:rPr>
        <w:t>écoles doctorales de l’UPPA</w:t>
      </w:r>
      <w:r w:rsidR="00375AAE">
        <w:rPr>
          <w:rFonts w:ascii="Calibri" w:hAnsi="Calibri" w:cs="Calibri"/>
          <w:sz w:val="24"/>
          <w:lang w:val="fr-FR"/>
        </w:rPr>
        <w:t xml:space="preserve"> </w:t>
      </w:r>
      <w:r w:rsidR="008104E5" w:rsidRPr="008104E5">
        <w:rPr>
          <w:rFonts w:ascii="Calibri" w:hAnsi="Calibri" w:cs="Calibri"/>
          <w:sz w:val="24"/>
          <w:lang w:val="fr-FR"/>
        </w:rPr>
        <w:t>:</w:t>
      </w:r>
    </w:p>
    <w:p w14:paraId="029A3CD7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École Doctorale Sciences Sociales et Humanités (ED 481) </w:t>
      </w:r>
    </w:p>
    <w:p w14:paraId="721CC6B7" w14:textId="77777777" w:rsidR="008104E5" w:rsidRPr="008104E5" w:rsidRDefault="008104E5" w:rsidP="00E4052C">
      <w:pPr>
        <w:pStyle w:val="Paragraphedeliste"/>
        <w:numPr>
          <w:ilvl w:val="0"/>
          <w:numId w:val="8"/>
        </w:numPr>
        <w:spacing w:before="0" w:line="276" w:lineRule="auto"/>
        <w:ind w:left="567" w:right="215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École Doctorale Sciences Exactes et leurs Applications (ED 211) </w:t>
      </w:r>
    </w:p>
    <w:p w14:paraId="06A456DC" w14:textId="4FAE5988" w:rsidR="008104E5" w:rsidRP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Pour toute question relative au présent appel à projets, les candidats et porteurs de projet peuvent contacter </w:t>
      </w:r>
      <w:r w:rsidR="00375AAE">
        <w:rPr>
          <w:rFonts w:ascii="Calibri" w:hAnsi="Calibri" w:cs="Calibri"/>
          <w:sz w:val="24"/>
          <w:lang w:val="fr-FR"/>
        </w:rPr>
        <w:t xml:space="preserve">le Centre des Etudes Doctorales </w:t>
      </w:r>
      <w:r w:rsidR="00712C0F">
        <w:rPr>
          <w:rFonts w:ascii="Calibri" w:hAnsi="Calibri" w:cs="Calibri"/>
          <w:sz w:val="24"/>
          <w:lang w:val="fr-FR"/>
        </w:rPr>
        <w:t xml:space="preserve">à l’adresse </w:t>
      </w:r>
      <w:r w:rsidRPr="008104E5">
        <w:rPr>
          <w:rFonts w:ascii="Calibri" w:hAnsi="Calibri" w:cs="Calibri"/>
          <w:sz w:val="24"/>
          <w:lang w:val="fr-FR"/>
        </w:rPr>
        <w:t>: admin.ced@univ-pau.fr</w:t>
      </w:r>
    </w:p>
    <w:p w14:paraId="69A4DAA2" w14:textId="1CC39960" w:rsidR="008104E5" w:rsidRDefault="008104E5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r w:rsidRPr="008104E5">
        <w:rPr>
          <w:rFonts w:ascii="Calibri" w:hAnsi="Calibri" w:cs="Calibri"/>
          <w:sz w:val="24"/>
          <w:lang w:val="fr-FR"/>
        </w:rPr>
        <w:t xml:space="preserve">Les modalités de dépôt des candidatures ainsi que les documents associés à l’appel à projets sont </w:t>
      </w:r>
      <w:r w:rsidRPr="008104E5">
        <w:rPr>
          <w:rFonts w:ascii="Calibri" w:hAnsi="Calibri" w:cs="Calibri"/>
          <w:sz w:val="24"/>
          <w:lang w:val="fr-FR"/>
        </w:rPr>
        <w:lastRenderedPageBreak/>
        <w:t>accessibles via la plateforme NUAGE de l’UPPA</w:t>
      </w:r>
      <w:r w:rsidR="00EB46DF">
        <w:rPr>
          <w:rFonts w:ascii="Calibri" w:hAnsi="Calibri" w:cs="Calibri"/>
          <w:sz w:val="24"/>
          <w:lang w:val="fr-FR"/>
        </w:rPr>
        <w:t xml:space="preserve"> accessible à l’adresse suivante.</w:t>
      </w:r>
    </w:p>
    <w:p w14:paraId="6E59D0B1" w14:textId="6FD3DEE6" w:rsidR="008104E5" w:rsidRPr="008104E5" w:rsidRDefault="00C54293" w:rsidP="00773C78">
      <w:pPr>
        <w:spacing w:before="120" w:line="276" w:lineRule="auto"/>
        <w:jc w:val="both"/>
        <w:rPr>
          <w:rFonts w:ascii="Calibri" w:hAnsi="Calibri" w:cs="Calibri"/>
          <w:sz w:val="24"/>
          <w:lang w:val="fr-FR"/>
        </w:rPr>
      </w:pPr>
      <w:hyperlink r:id="rId9" w:history="1">
        <w:r w:rsidRPr="00C54293">
          <w:rPr>
            <w:rStyle w:val="Lienhypertexte"/>
          </w:rPr>
          <w:t>https://nuage.univ-pau.fr/s/NrF</w:t>
        </w:r>
        <w:r w:rsidRPr="00C54293">
          <w:rPr>
            <w:rStyle w:val="Lienhypertexte"/>
          </w:rPr>
          <w:t>P</w:t>
        </w:r>
        <w:r w:rsidRPr="00C54293">
          <w:rPr>
            <w:rStyle w:val="Lienhypertexte"/>
          </w:rPr>
          <w:t>D6XzaoKiPPH</w:t>
        </w:r>
      </w:hyperlink>
    </w:p>
    <w:sectPr w:rsidR="008104E5" w:rsidRPr="008104E5" w:rsidSect="00511045">
      <w:headerReference w:type="default" r:id="rId10"/>
      <w:footerReference w:type="default" r:id="rId11"/>
      <w:pgSz w:w="11910" w:h="16840"/>
      <w:pgMar w:top="1134" w:right="1134" w:bottom="1134" w:left="1134" w:header="851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B3D5" w14:textId="77777777" w:rsidR="00BF7A08" w:rsidRDefault="00BF7A08">
      <w:r>
        <w:separator/>
      </w:r>
    </w:p>
  </w:endnote>
  <w:endnote w:type="continuationSeparator" w:id="0">
    <w:p w14:paraId="63D1D9C6" w14:textId="77777777" w:rsidR="00BF7A08" w:rsidRDefault="00B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E919" w14:textId="77777777" w:rsidR="00647612" w:rsidRDefault="004311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40EEAAE5" wp14:editId="1F1EF846">
              <wp:simplePos x="0" y="0"/>
              <wp:positionH relativeFrom="page">
                <wp:posOffset>3891915</wp:posOffset>
              </wp:positionH>
              <wp:positionV relativeFrom="page">
                <wp:posOffset>10058400</wp:posOffset>
              </wp:positionV>
              <wp:extent cx="140335" cy="196215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05295" w14:textId="77777777" w:rsidR="00647612" w:rsidRDefault="00B70F7C">
                          <w:pPr>
                            <w:spacing w:before="2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EAA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45pt;margin-top:11in;width:11.05pt;height:15.4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" filled="f" stroked="f">
              <v:textbox inset="0,0,0,0">
                <w:txbxContent>
                  <w:p w14:paraId="41305295" w14:textId="77777777" w:rsidR="00647612" w:rsidRDefault="00B70F7C">
                    <w:pPr>
                      <w:spacing w:before="2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6CD4" w14:textId="77777777" w:rsidR="00BF7A08" w:rsidRDefault="00BF7A08">
      <w:r>
        <w:separator/>
      </w:r>
    </w:p>
  </w:footnote>
  <w:footnote w:type="continuationSeparator" w:id="0">
    <w:p w14:paraId="588FC4AD" w14:textId="77777777" w:rsidR="00BF7A08" w:rsidRDefault="00BF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A1D1" w14:textId="77777777" w:rsidR="00647612" w:rsidRDefault="0043113D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3F1395BB" wp14:editId="6D64050B">
              <wp:simplePos x="0" y="0"/>
              <wp:positionH relativeFrom="page">
                <wp:posOffset>1120140</wp:posOffset>
              </wp:positionH>
              <wp:positionV relativeFrom="page">
                <wp:posOffset>-2540</wp:posOffset>
              </wp:positionV>
              <wp:extent cx="5086985" cy="358775"/>
              <wp:effectExtent l="0" t="0" r="3175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98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74A2F" w14:textId="77777777" w:rsidR="0043113D" w:rsidRDefault="0043113D" w:rsidP="0043113D">
                          <w:pPr>
                            <w:spacing w:before="21"/>
                            <w:ind w:left="-567" w:right="-605"/>
                            <w:jc w:val="center"/>
                            <w:rPr>
                              <w:b/>
                              <w:color w:val="0070C0"/>
                            </w:rPr>
                          </w:pPr>
                        </w:p>
                        <w:p w14:paraId="38559BC1" w14:textId="258925FC" w:rsidR="00647612" w:rsidRPr="00063ACB" w:rsidRDefault="00B70F7C" w:rsidP="0043113D">
                          <w:pPr>
                            <w:spacing w:before="21"/>
                            <w:ind w:right="-605"/>
                            <w:jc w:val="center"/>
                            <w:rPr>
                              <w:b/>
                              <w:lang w:val="fr-FR"/>
                            </w:rPr>
                          </w:pP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Appel à projets </w:t>
                          </w:r>
                          <w:proofErr w:type="gramStart"/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>202</w:t>
                          </w:r>
                          <w:r w:rsidR="00CF2ACD">
                            <w:rPr>
                              <w:b/>
                              <w:color w:val="0070C0"/>
                              <w:lang w:val="fr-FR"/>
                            </w:rPr>
                            <w:t>6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</w:t>
                          </w:r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-</w:t>
                          </w:r>
                          <w:proofErr w:type="gramEnd"/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>Cotutelle</w:t>
                          </w:r>
                          <w:r w:rsidR="00BD3F66" w:rsidRPr="00063ACB">
                            <w:rPr>
                              <w:b/>
                              <w:color w:val="0070C0"/>
                              <w:lang w:val="fr-FR"/>
                            </w:rPr>
                            <w:t>s</w:t>
                          </w:r>
                          <w:r w:rsidRPr="00063ACB">
                            <w:rPr>
                              <w:b/>
                              <w:color w:val="0070C0"/>
                              <w:lang w:val="fr-FR"/>
                            </w:rPr>
                            <w:t xml:space="preserve"> de thèse UPPA</w:t>
                          </w:r>
                          <w:r w:rsidR="00DA300C" w:rsidRPr="00063ACB">
                            <w:rPr>
                              <w:b/>
                              <w:color w:val="0070C0"/>
                              <w:lang w:val="fr-FR"/>
                            </w:rPr>
                            <w:t>-UP</w:t>
                          </w:r>
                          <w:r w:rsidR="001A01C6">
                            <w:rPr>
                              <w:b/>
                              <w:color w:val="0070C0"/>
                              <w:lang w:val="fr-FR"/>
                            </w:rPr>
                            <w:t>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39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2pt;margin-top:-.2pt;width:400.55pt;height:28.2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" filled="f" stroked="f">
              <v:textbox inset="0,0,0,0">
                <w:txbxContent>
                  <w:p w14:paraId="02274A2F" w14:textId="77777777" w:rsidR="0043113D" w:rsidRDefault="0043113D" w:rsidP="0043113D">
                    <w:pPr>
                      <w:spacing w:before="21"/>
                      <w:ind w:left="-567" w:right="-605"/>
                      <w:jc w:val="center"/>
                      <w:rPr>
                        <w:b/>
                        <w:color w:val="0070C0"/>
                      </w:rPr>
                    </w:pPr>
                  </w:p>
                  <w:p w14:paraId="38559BC1" w14:textId="258925FC" w:rsidR="00647612" w:rsidRPr="00063ACB" w:rsidRDefault="00B70F7C" w:rsidP="0043113D">
                    <w:pPr>
                      <w:spacing w:before="21"/>
                      <w:ind w:right="-605"/>
                      <w:jc w:val="center"/>
                      <w:rPr>
                        <w:b/>
                        <w:lang w:val="fr-FR"/>
                      </w:rPr>
                    </w:pP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Appel à projets </w:t>
                    </w:r>
                    <w:proofErr w:type="gramStart"/>
                    <w:r w:rsidRPr="00063ACB">
                      <w:rPr>
                        <w:b/>
                        <w:color w:val="0070C0"/>
                        <w:lang w:val="fr-FR"/>
                      </w:rPr>
                      <w:t>202</w:t>
                    </w:r>
                    <w:r w:rsidR="00CF2ACD">
                      <w:rPr>
                        <w:b/>
                        <w:color w:val="0070C0"/>
                        <w:lang w:val="fr-FR"/>
                      </w:rPr>
                      <w:t>6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 </w:t>
                    </w:r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 xml:space="preserve"> -</w:t>
                    </w:r>
                    <w:proofErr w:type="gramEnd"/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 xml:space="preserve"> 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>Cotutelle</w:t>
                    </w:r>
                    <w:r w:rsidR="00BD3F66" w:rsidRPr="00063ACB">
                      <w:rPr>
                        <w:b/>
                        <w:color w:val="0070C0"/>
                        <w:lang w:val="fr-FR"/>
                      </w:rPr>
                      <w:t>s</w:t>
                    </w:r>
                    <w:r w:rsidRPr="00063ACB">
                      <w:rPr>
                        <w:b/>
                        <w:color w:val="0070C0"/>
                        <w:lang w:val="fr-FR"/>
                      </w:rPr>
                      <w:t xml:space="preserve"> de thèse UPPA</w:t>
                    </w:r>
                    <w:r w:rsidR="00DA300C" w:rsidRPr="00063ACB">
                      <w:rPr>
                        <w:b/>
                        <w:color w:val="0070C0"/>
                        <w:lang w:val="fr-FR"/>
                      </w:rPr>
                      <w:t>-UP</w:t>
                    </w:r>
                    <w:r w:rsidR="001A01C6">
                      <w:rPr>
                        <w:b/>
                        <w:color w:val="0070C0"/>
                        <w:lang w:val="fr-FR"/>
                      </w:rPr>
                      <w:t>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1880" behindDoc="1" locked="0" layoutInCell="1" allowOverlap="1" wp14:anchorId="3122563B" wp14:editId="0D52EA2E">
              <wp:simplePos x="0" y="0"/>
              <wp:positionH relativeFrom="page">
                <wp:posOffset>701040</wp:posOffset>
              </wp:positionH>
              <wp:positionV relativeFrom="page">
                <wp:posOffset>552450</wp:posOffset>
              </wp:positionV>
              <wp:extent cx="6499860" cy="20320"/>
              <wp:effectExtent l="5715" t="12065" r="9525" b="571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20320"/>
                        <a:chOff x="1119" y="454"/>
                        <a:chExt cx="10236" cy="32"/>
                      </a:xfrm>
                    </wpg:grpSpPr>
                    <wps:wsp>
                      <wps:cNvPr id="5" name="Line 16"/>
                      <wps:cNvCnPr>
                        <a:cxnSpLocks noChangeShapeType="1"/>
                      </wps:cNvCnPr>
                      <wps:spPr bwMode="auto">
                        <a:xfrm>
                          <a:off x="1135" y="469"/>
                          <a:ext cx="10205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ACA8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5"/>
                      <wps:cNvCnPr>
                        <a:cxnSpLocks noChangeShapeType="1"/>
                      </wps:cNvCnPr>
                      <wps:spPr bwMode="auto">
                        <a:xfrm>
                          <a:off x="1136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1136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3"/>
                      <wps:cNvCnPr>
                        <a:cxnSpLocks noChangeShapeType="1"/>
                      </wps:cNvCnPr>
                      <wps:spPr bwMode="auto">
                        <a:xfrm>
                          <a:off x="1140" y="456"/>
                          <a:ext cx="10198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2"/>
                      <wps:cNvCnPr>
                        <a:cxnSpLocks noChangeShapeType="1"/>
                      </wps:cNvCnPr>
                      <wps:spPr bwMode="auto">
                        <a:xfrm>
                          <a:off x="11338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11338" y="456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1136" y="469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11338" y="469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8"/>
                      <wps:cNvCnPr>
                        <a:cxnSpLocks noChangeShapeType="1"/>
                      </wps:cNvCnPr>
                      <wps:spPr bwMode="auto">
                        <a:xfrm>
                          <a:off x="1136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 noChangeShapeType="1"/>
                      </wps:cNvCnPr>
                      <wps:spPr bwMode="auto">
                        <a:xfrm>
                          <a:off x="1136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6"/>
                      <wps:cNvCnPr>
                        <a:cxnSpLocks noChangeShapeType="1"/>
                      </wps:cNvCnPr>
                      <wps:spPr bwMode="auto">
                        <a:xfrm>
                          <a:off x="1140" y="482"/>
                          <a:ext cx="10198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5"/>
                      <wps:cNvCnPr>
                        <a:cxnSpLocks noChangeShapeType="1"/>
                      </wps:cNvCnPr>
                      <wps:spPr bwMode="auto">
                        <a:xfrm>
                          <a:off x="11338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4"/>
                      <wps:cNvCnPr>
                        <a:cxnSpLocks noChangeShapeType="1"/>
                      </wps:cNvCnPr>
                      <wps:spPr bwMode="auto">
                        <a:xfrm>
                          <a:off x="11338" y="482"/>
                          <a:ext cx="4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27E932" id="Group 3" o:spid="_x0000_s1026" style="position:absolute;margin-left:55.2pt;margin-top:43.5pt;width:511.8pt;height:1.6pt;z-index:-4600;mso-position-horizontal-relative:page;mso-position-vertical-relative:page" coordorigin="1119,454" coordsize="102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">
              <v:line id="Line 16" o:spid="_x0000_s1027" style="position:absolute;visibility:visible;mso-wrap-style:square" from="1135,469" to="113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" strokecolor="#aca899" strokeweight="1.55pt"/>
              <v:line id="Line 15" o:spid="_x0000_s1028" style="position:absolute;visibility:visible;mso-wrap-style:square" from="1136,456" to="114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" strokecolor="#9f9f9f" strokeweight=".24pt"/>
              <v:line id="Line 14" o:spid="_x0000_s1029" style="position:absolute;visibility:visible;mso-wrap-style:square" from="1136,456" to="1140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  <v:line id="Line 13" o:spid="_x0000_s1030" style="position:absolute;visibility:visible;mso-wrap-style:square" from="1140,456" to="11338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" strokecolor="#9f9f9f" strokeweight=".24pt"/>
              <v:line id="Line 12" o:spid="_x0000_s1031" style="position:absolute;visibility:visible;mso-wrap-style:square" from="11338,456" to="1134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" strokecolor="#e2e2e2" strokeweight=".24pt"/>
              <v:line id="Line 11" o:spid="_x0000_s1032" style="position:absolute;visibility:visible;mso-wrap-style:square" from="11338,456" to="11342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" strokecolor="#9f9f9f" strokeweight=".24pt"/>
              <v:line id="Line 10" o:spid="_x0000_s1033" style="position:absolute;visibility:visible;mso-wrap-style:square" from="1136,469" to="11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" strokecolor="#9f9f9f" strokeweight="1.08pt"/>
              <v:line id="Line 9" o:spid="_x0000_s1034" style="position:absolute;visibility:visible;mso-wrap-style:square" from="11338,469" to="11342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" strokecolor="#e2e2e2" strokeweight="1.08pt"/>
              <v:line id="Line 8" o:spid="_x0000_s1035" style="position:absolute;visibility:visible;mso-wrap-style:square" from="1136,482" to="1140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" strokecolor="#9f9f9f" strokeweight=".24pt"/>
              <v:line id="Line 7" o:spid="_x0000_s1036" style="position:absolute;visibility:visible;mso-wrap-style:square" from="1136,482" to="1140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<v:line id="Line 6" o:spid="_x0000_s1037" style="position:absolute;visibility:visible;mso-wrap-style:square" from="1140,482" to="11338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" strokecolor="#e2e2e2" strokeweight=".24pt"/>
              <v:line id="Line 5" o:spid="_x0000_s1038" style="position:absolute;visibility:visible;mso-wrap-style:square" from="11338,482" to="1134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" strokecolor="#e2e2e2" strokeweight=".24pt"/>
              <v:line id="Line 4" o:spid="_x0000_s1039" style="position:absolute;visibility:visible;mso-wrap-style:square" from="11338,482" to="1134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" strokecolor="#e2e2e2" strokeweight=".24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E6"/>
    <w:multiLevelType w:val="hybridMultilevel"/>
    <w:tmpl w:val="EA844968"/>
    <w:lvl w:ilvl="0" w:tplc="A184DF14">
      <w:numFmt w:val="bullet"/>
      <w:lvlText w:val="-"/>
      <w:lvlJc w:val="left"/>
      <w:pPr>
        <w:ind w:left="1138" w:hanging="135"/>
      </w:pPr>
      <w:rPr>
        <w:rFonts w:ascii="Arial" w:eastAsia="Arial" w:hAnsi="Arial" w:cs="Arial" w:hint="default"/>
        <w:w w:val="100"/>
        <w:sz w:val="16"/>
        <w:szCs w:val="16"/>
      </w:rPr>
    </w:lvl>
    <w:lvl w:ilvl="1" w:tplc="A116490E">
      <w:numFmt w:val="bullet"/>
      <w:lvlText w:val="•"/>
      <w:lvlJc w:val="left"/>
      <w:pPr>
        <w:ind w:left="2072" w:hanging="135"/>
      </w:pPr>
      <w:rPr>
        <w:rFonts w:hint="default"/>
      </w:rPr>
    </w:lvl>
    <w:lvl w:ilvl="2" w:tplc="F754DA0E">
      <w:numFmt w:val="bullet"/>
      <w:lvlText w:val="•"/>
      <w:lvlJc w:val="left"/>
      <w:pPr>
        <w:ind w:left="3005" w:hanging="135"/>
      </w:pPr>
      <w:rPr>
        <w:rFonts w:hint="default"/>
      </w:rPr>
    </w:lvl>
    <w:lvl w:ilvl="3" w:tplc="D610A6B8">
      <w:numFmt w:val="bullet"/>
      <w:lvlText w:val="•"/>
      <w:lvlJc w:val="left"/>
      <w:pPr>
        <w:ind w:left="3937" w:hanging="135"/>
      </w:pPr>
      <w:rPr>
        <w:rFonts w:hint="default"/>
      </w:rPr>
    </w:lvl>
    <w:lvl w:ilvl="4" w:tplc="70DE90CE">
      <w:numFmt w:val="bullet"/>
      <w:lvlText w:val="•"/>
      <w:lvlJc w:val="left"/>
      <w:pPr>
        <w:ind w:left="4870" w:hanging="135"/>
      </w:pPr>
      <w:rPr>
        <w:rFonts w:hint="default"/>
      </w:rPr>
    </w:lvl>
    <w:lvl w:ilvl="5" w:tplc="93CEC92A">
      <w:numFmt w:val="bullet"/>
      <w:lvlText w:val="•"/>
      <w:lvlJc w:val="left"/>
      <w:pPr>
        <w:ind w:left="5803" w:hanging="135"/>
      </w:pPr>
      <w:rPr>
        <w:rFonts w:hint="default"/>
      </w:rPr>
    </w:lvl>
    <w:lvl w:ilvl="6" w:tplc="C9D6C062">
      <w:numFmt w:val="bullet"/>
      <w:lvlText w:val="•"/>
      <w:lvlJc w:val="left"/>
      <w:pPr>
        <w:ind w:left="6735" w:hanging="135"/>
      </w:pPr>
      <w:rPr>
        <w:rFonts w:hint="default"/>
      </w:rPr>
    </w:lvl>
    <w:lvl w:ilvl="7" w:tplc="1FD810C2">
      <w:numFmt w:val="bullet"/>
      <w:lvlText w:val="•"/>
      <w:lvlJc w:val="left"/>
      <w:pPr>
        <w:ind w:left="7668" w:hanging="135"/>
      </w:pPr>
      <w:rPr>
        <w:rFonts w:hint="default"/>
      </w:rPr>
    </w:lvl>
    <w:lvl w:ilvl="8" w:tplc="5AFABBA0">
      <w:numFmt w:val="bullet"/>
      <w:lvlText w:val="•"/>
      <w:lvlJc w:val="left"/>
      <w:pPr>
        <w:ind w:left="8601" w:hanging="135"/>
      </w:pPr>
      <w:rPr>
        <w:rFonts w:hint="default"/>
      </w:rPr>
    </w:lvl>
  </w:abstractNum>
  <w:abstractNum w:abstractNumId="1" w15:restartNumberingAfterBreak="0">
    <w:nsid w:val="07CA01B1"/>
    <w:multiLevelType w:val="hybridMultilevel"/>
    <w:tmpl w:val="140E9C1A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0D291645"/>
    <w:multiLevelType w:val="hybridMultilevel"/>
    <w:tmpl w:val="2AB242C2"/>
    <w:lvl w:ilvl="0" w:tplc="040C000D">
      <w:start w:val="1"/>
      <w:numFmt w:val="bullet"/>
      <w:lvlText w:val=""/>
      <w:lvlJc w:val="left"/>
      <w:pPr>
        <w:ind w:left="418" w:hanging="284"/>
      </w:pPr>
      <w:rPr>
        <w:rFonts w:ascii="Wingdings" w:hAnsi="Wingdings" w:hint="default"/>
        <w:w w:val="99"/>
        <w:sz w:val="20"/>
        <w:szCs w:val="20"/>
      </w:rPr>
    </w:lvl>
    <w:lvl w:ilvl="1" w:tplc="9136726E">
      <w:numFmt w:val="bullet"/>
      <w:lvlText w:val=""/>
      <w:lvlJc w:val="left"/>
      <w:pPr>
        <w:ind w:left="843" w:hanging="35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DF2B17E">
      <w:numFmt w:val="bullet"/>
      <w:lvlText w:val="•"/>
      <w:lvlJc w:val="left"/>
      <w:pPr>
        <w:ind w:left="1916" w:hanging="352"/>
      </w:pPr>
      <w:rPr>
        <w:rFonts w:hint="default"/>
      </w:rPr>
    </w:lvl>
    <w:lvl w:ilvl="3" w:tplc="B96E5478">
      <w:numFmt w:val="bullet"/>
      <w:lvlText w:val="•"/>
      <w:lvlJc w:val="left"/>
      <w:pPr>
        <w:ind w:left="2992" w:hanging="352"/>
      </w:pPr>
      <w:rPr>
        <w:rFonts w:hint="default"/>
      </w:rPr>
    </w:lvl>
    <w:lvl w:ilvl="4" w:tplc="F550AE64">
      <w:numFmt w:val="bullet"/>
      <w:lvlText w:val="•"/>
      <w:lvlJc w:val="left"/>
      <w:pPr>
        <w:ind w:left="4068" w:hanging="352"/>
      </w:pPr>
      <w:rPr>
        <w:rFonts w:hint="default"/>
      </w:rPr>
    </w:lvl>
    <w:lvl w:ilvl="5" w:tplc="B1F44E3C">
      <w:numFmt w:val="bullet"/>
      <w:lvlText w:val="•"/>
      <w:lvlJc w:val="left"/>
      <w:pPr>
        <w:ind w:left="5145" w:hanging="352"/>
      </w:pPr>
      <w:rPr>
        <w:rFonts w:hint="default"/>
      </w:rPr>
    </w:lvl>
    <w:lvl w:ilvl="6" w:tplc="ACCEFE4C">
      <w:numFmt w:val="bullet"/>
      <w:lvlText w:val="•"/>
      <w:lvlJc w:val="left"/>
      <w:pPr>
        <w:ind w:left="6221" w:hanging="352"/>
      </w:pPr>
      <w:rPr>
        <w:rFonts w:hint="default"/>
      </w:rPr>
    </w:lvl>
    <w:lvl w:ilvl="7" w:tplc="5EB84708">
      <w:numFmt w:val="bullet"/>
      <w:lvlText w:val="•"/>
      <w:lvlJc w:val="left"/>
      <w:pPr>
        <w:ind w:left="7297" w:hanging="352"/>
      </w:pPr>
      <w:rPr>
        <w:rFonts w:hint="default"/>
      </w:rPr>
    </w:lvl>
    <w:lvl w:ilvl="8" w:tplc="8A5E9A32">
      <w:numFmt w:val="bullet"/>
      <w:lvlText w:val="•"/>
      <w:lvlJc w:val="left"/>
      <w:pPr>
        <w:ind w:left="8373" w:hanging="352"/>
      </w:pPr>
      <w:rPr>
        <w:rFonts w:hint="default"/>
      </w:rPr>
    </w:lvl>
  </w:abstractNum>
  <w:abstractNum w:abstractNumId="3" w15:restartNumberingAfterBreak="0">
    <w:nsid w:val="10176BCC"/>
    <w:multiLevelType w:val="multilevel"/>
    <w:tmpl w:val="5CBE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642AD"/>
    <w:multiLevelType w:val="hybridMultilevel"/>
    <w:tmpl w:val="6E7CFB26"/>
    <w:lvl w:ilvl="0" w:tplc="9136726E">
      <w:numFmt w:val="bullet"/>
      <w:lvlText w:val=""/>
      <w:lvlJc w:val="left"/>
      <w:pPr>
        <w:ind w:left="180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6B4531"/>
    <w:multiLevelType w:val="multilevel"/>
    <w:tmpl w:val="5C4EB0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94AA5"/>
    <w:multiLevelType w:val="hybridMultilevel"/>
    <w:tmpl w:val="E5CA2A44"/>
    <w:lvl w:ilvl="0" w:tplc="CB44A4A6">
      <w:start w:val="1"/>
      <w:numFmt w:val="bullet"/>
      <w:lvlText w:val="-"/>
      <w:lvlJc w:val="left"/>
      <w:pPr>
        <w:ind w:left="85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 w15:restartNumberingAfterBreak="0">
    <w:nsid w:val="2E0A6BDC"/>
    <w:multiLevelType w:val="hybridMultilevel"/>
    <w:tmpl w:val="2620E2E0"/>
    <w:lvl w:ilvl="0" w:tplc="435EC950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9136726E">
      <w:numFmt w:val="bullet"/>
      <w:lvlText w:val=""/>
      <w:lvlJc w:val="left"/>
      <w:pPr>
        <w:ind w:left="843" w:hanging="35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DF2B17E">
      <w:numFmt w:val="bullet"/>
      <w:lvlText w:val="•"/>
      <w:lvlJc w:val="left"/>
      <w:pPr>
        <w:ind w:left="1916" w:hanging="352"/>
      </w:pPr>
      <w:rPr>
        <w:rFonts w:hint="default"/>
      </w:rPr>
    </w:lvl>
    <w:lvl w:ilvl="3" w:tplc="B96E5478">
      <w:numFmt w:val="bullet"/>
      <w:lvlText w:val="•"/>
      <w:lvlJc w:val="left"/>
      <w:pPr>
        <w:ind w:left="2992" w:hanging="352"/>
      </w:pPr>
      <w:rPr>
        <w:rFonts w:hint="default"/>
      </w:rPr>
    </w:lvl>
    <w:lvl w:ilvl="4" w:tplc="F550AE64">
      <w:numFmt w:val="bullet"/>
      <w:lvlText w:val="•"/>
      <w:lvlJc w:val="left"/>
      <w:pPr>
        <w:ind w:left="4068" w:hanging="352"/>
      </w:pPr>
      <w:rPr>
        <w:rFonts w:hint="default"/>
      </w:rPr>
    </w:lvl>
    <w:lvl w:ilvl="5" w:tplc="B1F44E3C">
      <w:numFmt w:val="bullet"/>
      <w:lvlText w:val="•"/>
      <w:lvlJc w:val="left"/>
      <w:pPr>
        <w:ind w:left="5145" w:hanging="352"/>
      </w:pPr>
      <w:rPr>
        <w:rFonts w:hint="default"/>
      </w:rPr>
    </w:lvl>
    <w:lvl w:ilvl="6" w:tplc="ACCEFE4C">
      <w:numFmt w:val="bullet"/>
      <w:lvlText w:val="•"/>
      <w:lvlJc w:val="left"/>
      <w:pPr>
        <w:ind w:left="6221" w:hanging="352"/>
      </w:pPr>
      <w:rPr>
        <w:rFonts w:hint="default"/>
      </w:rPr>
    </w:lvl>
    <w:lvl w:ilvl="7" w:tplc="5EB84708">
      <w:numFmt w:val="bullet"/>
      <w:lvlText w:val="•"/>
      <w:lvlJc w:val="left"/>
      <w:pPr>
        <w:ind w:left="7297" w:hanging="352"/>
      </w:pPr>
      <w:rPr>
        <w:rFonts w:hint="default"/>
      </w:rPr>
    </w:lvl>
    <w:lvl w:ilvl="8" w:tplc="8A5E9A32">
      <w:numFmt w:val="bullet"/>
      <w:lvlText w:val="•"/>
      <w:lvlJc w:val="left"/>
      <w:pPr>
        <w:ind w:left="8373" w:hanging="352"/>
      </w:pPr>
      <w:rPr>
        <w:rFonts w:hint="default"/>
      </w:rPr>
    </w:lvl>
  </w:abstractNum>
  <w:abstractNum w:abstractNumId="8" w15:restartNumberingAfterBreak="0">
    <w:nsid w:val="389F7A4B"/>
    <w:multiLevelType w:val="multilevel"/>
    <w:tmpl w:val="CDFAA1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72538"/>
    <w:multiLevelType w:val="multilevel"/>
    <w:tmpl w:val="035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9338F"/>
    <w:multiLevelType w:val="multilevel"/>
    <w:tmpl w:val="439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5342A"/>
    <w:multiLevelType w:val="multilevel"/>
    <w:tmpl w:val="E5B29F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C5C93"/>
    <w:multiLevelType w:val="multilevel"/>
    <w:tmpl w:val="5CCC5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B4F5B"/>
    <w:multiLevelType w:val="multilevel"/>
    <w:tmpl w:val="39E8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66964"/>
    <w:multiLevelType w:val="hybridMultilevel"/>
    <w:tmpl w:val="DEE0CC7E"/>
    <w:lvl w:ilvl="0" w:tplc="9136726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4FDA"/>
    <w:multiLevelType w:val="hybridMultilevel"/>
    <w:tmpl w:val="4A1452B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4"/>
  </w:num>
  <w:num w:numId="5">
    <w:abstractNumId w:val="15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8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12"/>
    <w:rsid w:val="00063ACB"/>
    <w:rsid w:val="00080C70"/>
    <w:rsid w:val="000B0F21"/>
    <w:rsid w:val="000B4650"/>
    <w:rsid w:val="000C6BC6"/>
    <w:rsid w:val="000D09DC"/>
    <w:rsid w:val="000F72A9"/>
    <w:rsid w:val="001320F7"/>
    <w:rsid w:val="00142034"/>
    <w:rsid w:val="00161801"/>
    <w:rsid w:val="00173A44"/>
    <w:rsid w:val="001A01C6"/>
    <w:rsid w:val="001A5FA4"/>
    <w:rsid w:val="001B418B"/>
    <w:rsid w:val="001C5588"/>
    <w:rsid w:val="001E1362"/>
    <w:rsid w:val="00214499"/>
    <w:rsid w:val="00227E97"/>
    <w:rsid w:val="00235F0A"/>
    <w:rsid w:val="00241A3B"/>
    <w:rsid w:val="0024312C"/>
    <w:rsid w:val="002C0470"/>
    <w:rsid w:val="0034637E"/>
    <w:rsid w:val="003656AE"/>
    <w:rsid w:val="00375AAE"/>
    <w:rsid w:val="003A6B42"/>
    <w:rsid w:val="003C2C09"/>
    <w:rsid w:val="003F33B3"/>
    <w:rsid w:val="003F3B68"/>
    <w:rsid w:val="003F635A"/>
    <w:rsid w:val="00403819"/>
    <w:rsid w:val="0043113D"/>
    <w:rsid w:val="00465D7A"/>
    <w:rsid w:val="004808AB"/>
    <w:rsid w:val="004914C6"/>
    <w:rsid w:val="004A7FA8"/>
    <w:rsid w:val="004B69CF"/>
    <w:rsid w:val="004D3A0C"/>
    <w:rsid w:val="004E232A"/>
    <w:rsid w:val="004F5699"/>
    <w:rsid w:val="0050188B"/>
    <w:rsid w:val="00506A66"/>
    <w:rsid w:val="00511045"/>
    <w:rsid w:val="00566E4E"/>
    <w:rsid w:val="005E61BA"/>
    <w:rsid w:val="00607F38"/>
    <w:rsid w:val="00616AFE"/>
    <w:rsid w:val="00637DD1"/>
    <w:rsid w:val="0064089A"/>
    <w:rsid w:val="00647612"/>
    <w:rsid w:val="006876AF"/>
    <w:rsid w:val="00694E5F"/>
    <w:rsid w:val="006D42EE"/>
    <w:rsid w:val="006E04D1"/>
    <w:rsid w:val="00711952"/>
    <w:rsid w:val="00712C0F"/>
    <w:rsid w:val="00713AAB"/>
    <w:rsid w:val="00747B2B"/>
    <w:rsid w:val="00773C78"/>
    <w:rsid w:val="007A1F22"/>
    <w:rsid w:val="007B4306"/>
    <w:rsid w:val="007E0982"/>
    <w:rsid w:val="008104E5"/>
    <w:rsid w:val="008302DD"/>
    <w:rsid w:val="008411BC"/>
    <w:rsid w:val="0084280A"/>
    <w:rsid w:val="0087579A"/>
    <w:rsid w:val="008806EE"/>
    <w:rsid w:val="00894511"/>
    <w:rsid w:val="008A20FE"/>
    <w:rsid w:val="008B5FD6"/>
    <w:rsid w:val="008C3CA7"/>
    <w:rsid w:val="008D09AC"/>
    <w:rsid w:val="00903930"/>
    <w:rsid w:val="009156EA"/>
    <w:rsid w:val="0091671F"/>
    <w:rsid w:val="0093048C"/>
    <w:rsid w:val="00955EA0"/>
    <w:rsid w:val="009A481D"/>
    <w:rsid w:val="009D1404"/>
    <w:rsid w:val="009D1F91"/>
    <w:rsid w:val="009E7243"/>
    <w:rsid w:val="00A401C9"/>
    <w:rsid w:val="00A42493"/>
    <w:rsid w:val="00A43C77"/>
    <w:rsid w:val="00A47231"/>
    <w:rsid w:val="00A52D2A"/>
    <w:rsid w:val="00A911C9"/>
    <w:rsid w:val="00A95F87"/>
    <w:rsid w:val="00AC1094"/>
    <w:rsid w:val="00B33C92"/>
    <w:rsid w:val="00B37DB2"/>
    <w:rsid w:val="00B64ED7"/>
    <w:rsid w:val="00B70F7C"/>
    <w:rsid w:val="00B80224"/>
    <w:rsid w:val="00BB102F"/>
    <w:rsid w:val="00BB446B"/>
    <w:rsid w:val="00BD3F66"/>
    <w:rsid w:val="00BF7A08"/>
    <w:rsid w:val="00C329A8"/>
    <w:rsid w:val="00C47440"/>
    <w:rsid w:val="00C51DFB"/>
    <w:rsid w:val="00C54293"/>
    <w:rsid w:val="00C72A73"/>
    <w:rsid w:val="00C72AC8"/>
    <w:rsid w:val="00C72FEC"/>
    <w:rsid w:val="00C75371"/>
    <w:rsid w:val="00C7765F"/>
    <w:rsid w:val="00C96331"/>
    <w:rsid w:val="00CC2641"/>
    <w:rsid w:val="00CF2ACD"/>
    <w:rsid w:val="00CF39EF"/>
    <w:rsid w:val="00D27FB8"/>
    <w:rsid w:val="00D33E74"/>
    <w:rsid w:val="00D628D1"/>
    <w:rsid w:val="00D7054C"/>
    <w:rsid w:val="00D77CB1"/>
    <w:rsid w:val="00D9465F"/>
    <w:rsid w:val="00D97512"/>
    <w:rsid w:val="00DA300C"/>
    <w:rsid w:val="00DF0B83"/>
    <w:rsid w:val="00E1528E"/>
    <w:rsid w:val="00E4052C"/>
    <w:rsid w:val="00E545D6"/>
    <w:rsid w:val="00E941AB"/>
    <w:rsid w:val="00E94EE5"/>
    <w:rsid w:val="00EB46DF"/>
    <w:rsid w:val="00EE39E4"/>
    <w:rsid w:val="00EE46C3"/>
    <w:rsid w:val="00F030CC"/>
    <w:rsid w:val="00F72264"/>
    <w:rsid w:val="00F77D7D"/>
    <w:rsid w:val="00F83D8D"/>
    <w:rsid w:val="00FB351D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9B4227"/>
  <w15:docId w15:val="{63C086E6-7A16-49D0-BBCC-C14C70E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70"/>
    <w:rPr>
      <w:rFonts w:ascii="Verdana" w:eastAsia="Verdana" w:hAnsi="Verdana" w:cs="Verdana"/>
    </w:rPr>
  </w:style>
  <w:style w:type="paragraph" w:styleId="Titre1">
    <w:name w:val="heading 1"/>
    <w:basedOn w:val="Normal"/>
    <w:uiPriority w:val="9"/>
    <w:qFormat/>
    <w:pPr>
      <w:ind w:left="135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35"/>
      <w:jc w:val="both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114"/>
      <w:ind w:left="418" w:hanging="283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20"/>
      <w:ind w:left="418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D3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F66"/>
    <w:rPr>
      <w:rFonts w:ascii="Verdana" w:eastAsia="Verdana" w:hAnsi="Verdana" w:cs="Verdana"/>
    </w:rPr>
  </w:style>
  <w:style w:type="paragraph" w:styleId="Pieddepage">
    <w:name w:val="footer"/>
    <w:basedOn w:val="Normal"/>
    <w:link w:val="PieddepageCar"/>
    <w:uiPriority w:val="99"/>
    <w:unhideWhenUsed/>
    <w:rsid w:val="00BD3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F66"/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AC10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109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7FA8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B4306"/>
    <w:rPr>
      <w:rFonts w:ascii="Verdana" w:eastAsia="Verdana" w:hAnsi="Verdana" w:cs="Verdana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E04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4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4D1"/>
    <w:rPr>
      <w:rFonts w:ascii="Verdana" w:eastAsia="Verdana" w:hAnsi="Verdana" w:cs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4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4D1"/>
    <w:rPr>
      <w:rFonts w:ascii="Verdana" w:eastAsia="Verdana" w:hAnsi="Verdana" w:cs="Verdan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4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4D1"/>
    <w:rPr>
      <w:rFonts w:ascii="Segoe UI" w:eastAsia="Verdana" w:hAnsi="Segoe UI" w:cs="Segoe UI"/>
      <w:sz w:val="18"/>
      <w:szCs w:val="18"/>
    </w:rPr>
  </w:style>
  <w:style w:type="table" w:styleId="TableauGrille1Clair">
    <w:name w:val="Grid Table 1 Light"/>
    <w:basedOn w:val="TableauNormal"/>
    <w:uiPriority w:val="46"/>
    <w:rsid w:val="00C963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age.univ-pau.fr/s/NrFPD6XzaoKiP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A7F4-4B63-4FDC-BFA0-B5ABA68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1457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UPPA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informatique</dc:creator>
  <cp:lastModifiedBy>Christine PUYOL</cp:lastModifiedBy>
  <cp:revision>5</cp:revision>
  <dcterms:created xsi:type="dcterms:W3CDTF">2026-05-13T08:59:00Z</dcterms:created>
  <dcterms:modified xsi:type="dcterms:W3CDTF">2026-05-13T13:39:00Z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